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6E" w:rsidRDefault="00F23863"/>
    <w:p w:rsidR="00F23863" w:rsidRDefault="00F23863"/>
    <w:p w:rsidR="00F23863" w:rsidRPr="00F23863" w:rsidRDefault="00F23863" w:rsidP="00F23863">
      <w:pPr>
        <w:shd w:val="clear" w:color="auto" w:fill="E9E8E7"/>
        <w:spacing w:after="150" w:line="285" w:lineRule="atLeast"/>
        <w:textAlignment w:val="top"/>
        <w:outlineLvl w:val="1"/>
        <w:rPr>
          <w:rFonts w:ascii="Trebuchet MS" w:eastAsia="Times New Roman" w:hAnsi="Trebuchet MS" w:cs="Arial"/>
          <w:color w:val="EB4413"/>
          <w:spacing w:val="-7"/>
          <w:sz w:val="26"/>
          <w:szCs w:val="26"/>
        </w:rPr>
      </w:pPr>
      <w:r w:rsidRPr="00F23863">
        <w:rPr>
          <w:rFonts w:ascii="Trebuchet MS" w:eastAsia="Times New Roman" w:hAnsi="Trebuchet MS" w:cs="Arial"/>
          <w:color w:val="EB4413"/>
          <w:spacing w:val="-7"/>
          <w:sz w:val="26"/>
          <w:szCs w:val="26"/>
        </w:rPr>
        <w:t>Shelby County, Alabama v. Holder</w:t>
      </w:r>
    </w:p>
    <w:p w:rsidR="00F23863" w:rsidRPr="00F23863" w:rsidRDefault="00F23863" w:rsidP="00F23863">
      <w:pPr>
        <w:shd w:val="clear" w:color="auto" w:fill="E9E8E7"/>
        <w:spacing w:after="240" w:line="270" w:lineRule="atLeast"/>
        <w:textAlignment w:val="top"/>
        <w:rPr>
          <w:rFonts w:ascii="Trebuchet MS" w:eastAsia="Times New Roman" w:hAnsi="Trebuchet MS" w:cs="Arial"/>
          <w:color w:val="444444"/>
          <w:sz w:val="18"/>
          <w:szCs w:val="18"/>
        </w:rPr>
      </w:pPr>
      <w:r w:rsidRPr="00F23863">
        <w:rPr>
          <w:rFonts w:ascii="Trebuchet MS" w:eastAsia="Times New Roman" w:hAnsi="Trebuchet MS" w:cs="Arial"/>
          <w:color w:val="444444"/>
          <w:sz w:val="18"/>
          <w:szCs w:val="18"/>
        </w:rPr>
        <w:t>570 U.S. ____ (2013</w:t>
      </w:r>
      <w:proofErr w:type="gramStart"/>
      <w:r w:rsidRPr="00F23863">
        <w:rPr>
          <w:rFonts w:ascii="Trebuchet MS" w:eastAsia="Times New Roman" w:hAnsi="Trebuchet MS" w:cs="Arial"/>
          <w:color w:val="444444"/>
          <w:sz w:val="18"/>
          <w:szCs w:val="18"/>
        </w:rPr>
        <w:t>)</w:t>
      </w:r>
      <w:proofErr w:type="gramEnd"/>
      <w:r w:rsidRPr="00F23863">
        <w:rPr>
          <w:rFonts w:ascii="Trebuchet MS" w:eastAsia="Times New Roman" w:hAnsi="Trebuchet MS" w:cs="Arial"/>
          <w:color w:val="444444"/>
          <w:sz w:val="18"/>
          <w:szCs w:val="18"/>
        </w:rPr>
        <w:br/>
      </w:r>
      <w:hyperlink r:id="rId5" w:history="1">
        <w:r w:rsidRPr="00F23863">
          <w:rPr>
            <w:rFonts w:eastAsia="Times New Roman" w:cs="Times New Roman"/>
            <w:color w:val="000099"/>
            <w:sz w:val="18"/>
            <w:szCs w:val="18"/>
          </w:rPr>
          <w:t>http://laws.findlaw.com/us/000/12-96.html</w:t>
        </w:r>
      </w:hyperlink>
      <w:r w:rsidRPr="00F23863">
        <w:rPr>
          <w:rFonts w:ascii="Trebuchet MS" w:eastAsia="Times New Roman" w:hAnsi="Trebuchet MS" w:cs="Arial"/>
          <w:color w:val="444444"/>
          <w:sz w:val="18"/>
          <w:szCs w:val="18"/>
        </w:rPr>
        <w:br/>
        <w:t xml:space="preserve">Oral arguments are available at </w:t>
      </w:r>
      <w:hyperlink r:id="rId6" w:history="1">
        <w:r w:rsidRPr="00F23863">
          <w:rPr>
            <w:rFonts w:eastAsia="Times New Roman" w:cs="Times New Roman"/>
            <w:color w:val="000099"/>
            <w:sz w:val="18"/>
            <w:szCs w:val="18"/>
          </w:rPr>
          <w:t>http://www.oyez.org</w:t>
        </w:r>
      </w:hyperlink>
    </w:p>
    <w:p w:rsidR="00F23863" w:rsidRPr="00F23863" w:rsidRDefault="00F23863" w:rsidP="00F23863">
      <w:pPr>
        <w:shd w:val="clear" w:color="auto" w:fill="E9E8E7"/>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Vote: 5 (Alito, Kennedy, Roberts, Scalia, Thomas</w:t>
      </w:r>
      <w:proofErr w:type="gramStart"/>
      <w:r w:rsidRPr="00F23863">
        <w:rPr>
          <w:rFonts w:ascii="Trebuchet MS" w:eastAsia="Times New Roman" w:hAnsi="Trebuchet MS" w:cs="Arial"/>
          <w:color w:val="333333"/>
          <w:sz w:val="20"/>
          <w:szCs w:val="20"/>
        </w:rPr>
        <w:t>)</w:t>
      </w:r>
      <w:proofErr w:type="gramEnd"/>
      <w:r w:rsidRPr="00F23863">
        <w:rPr>
          <w:rFonts w:ascii="Trebuchet MS" w:eastAsia="Times New Roman" w:hAnsi="Trebuchet MS" w:cs="Arial"/>
          <w:color w:val="333333"/>
          <w:sz w:val="20"/>
          <w:szCs w:val="20"/>
        </w:rPr>
        <w:br/>
        <w:t>4 (Breyer, Ginsburg, Kagan, Sotomayor)</w:t>
      </w:r>
    </w:p>
    <w:p w:rsidR="00F23863" w:rsidRPr="00F23863" w:rsidRDefault="00F23863" w:rsidP="00F23863">
      <w:pPr>
        <w:shd w:val="clear" w:color="auto" w:fill="E9E8E7"/>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Opinion of the Court: Roberts</w:t>
      </w:r>
      <w:r w:rsidRPr="00F23863">
        <w:rPr>
          <w:rFonts w:ascii="Trebuchet MS" w:eastAsia="Times New Roman" w:hAnsi="Trebuchet MS" w:cs="Arial"/>
          <w:color w:val="333333"/>
          <w:sz w:val="20"/>
          <w:szCs w:val="20"/>
        </w:rPr>
        <w:br/>
        <w:t>Concurring Opinion: Thomas</w:t>
      </w:r>
      <w:r w:rsidRPr="00F23863">
        <w:rPr>
          <w:rFonts w:ascii="Trebuchet MS" w:eastAsia="Times New Roman" w:hAnsi="Trebuchet MS" w:cs="Arial"/>
          <w:color w:val="333333"/>
          <w:sz w:val="20"/>
          <w:szCs w:val="20"/>
        </w:rPr>
        <w:br/>
        <w:t>Dissenting Opinion: Ginsburg</w:t>
      </w:r>
    </w:p>
    <w:p w:rsidR="00F23863" w:rsidRPr="00F23863" w:rsidRDefault="00F23863" w:rsidP="00F23863">
      <w:pPr>
        <w:shd w:val="clear" w:color="auto" w:fill="E9E8E7"/>
        <w:spacing w:after="150" w:line="225" w:lineRule="atLeast"/>
        <w:textAlignment w:val="top"/>
        <w:outlineLvl w:val="2"/>
        <w:rPr>
          <w:rFonts w:ascii="Trebuchet MS" w:eastAsia="Times New Roman" w:hAnsi="Trebuchet MS" w:cs="Arial"/>
          <w:b/>
          <w:bCs/>
          <w:caps/>
          <w:color w:val="FFFFFF"/>
          <w:spacing w:val="-15"/>
          <w:sz w:val="20"/>
          <w:szCs w:val="20"/>
        </w:rPr>
      </w:pPr>
      <w:r w:rsidRPr="00F23863">
        <w:rPr>
          <w:rFonts w:ascii="Trebuchet MS" w:eastAsia="Times New Roman" w:hAnsi="Trebuchet MS" w:cs="Arial"/>
          <w:b/>
          <w:bCs/>
          <w:caps/>
          <w:color w:val="FFFFFF"/>
          <w:spacing w:val="-15"/>
          <w:sz w:val="20"/>
          <w:szCs w:val="20"/>
          <w:shd w:val="clear" w:color="auto" w:fill="435272"/>
        </w:rPr>
        <w:t>Facts</w:t>
      </w:r>
    </w:p>
    <w:p w:rsidR="00F23863" w:rsidRPr="00F23863" w:rsidRDefault="00F23863" w:rsidP="00F23863">
      <w:pPr>
        <w:shd w:val="clear" w:color="auto" w:fill="E9E8E7"/>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Congress passed the Voting Rights Act of 1965 to protect the right to vote from the evils of racial discrimination. Three sections of act are particularly relevant in this case. Section 2 bans any standard, practice, or procedure that results in a denial or abridgement of the right to vote on account of race. This section applies nationwide. It allows legal action to be taken against jurisdictions that engage in unlawful, discriminatory acts. Section 4 creates a coverage formula to determine those states and political subdivisions that will be subject to additional scrutiny. The formula is based on the previous use of racially discriminatory practices and low voter registration or turnout. Finally, Section 5 holds that no jurisdiction that qualifies under the coverage formula can implement any changes in voting procedures until they are approved by the U.S. Justice Department or a federal three-judge district court in the District of Columbia. This procedure is known as the “preclearance” requirement. The overage formula and the preclearance requirement originally were seen as temporary measures that would expire in 5 years. However, Congress extended the life of these provisions several times, the most recent being a 25-year extension enacted in 2006.</w:t>
      </w:r>
    </w:p>
    <w:p w:rsidR="00F23863" w:rsidRPr="00F23863" w:rsidRDefault="00F23863" w:rsidP="00F23863">
      <w:pPr>
        <w:shd w:val="clear" w:color="auto" w:fill="E9E8E7"/>
        <w:spacing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Shelby County, a covered jurisdiction in Alabama, sued the U.S. Attorney General asking the district court to strike down Sections 4 and 5 as unconstitutional because the coverage formula is based on a 1965 race-relations environment that no longer existed in 2006 when Congress extended the life of these provisions. The district court and the court of appeals rejected this argument, finding that Congress had ample evidence to justify the continuation of the challenged provisions and that Section 2 alone would be inadequate to protect the rights of minority voters.</w:t>
      </w:r>
    </w:p>
    <w:p w:rsidR="00F23863" w:rsidRPr="00F23863" w:rsidRDefault="00F23863" w:rsidP="00F23863">
      <w:pPr>
        <w:shd w:val="clear" w:color="auto" w:fill="FFFFFF"/>
        <w:spacing w:after="150" w:line="225" w:lineRule="atLeast"/>
        <w:textAlignment w:val="top"/>
        <w:outlineLvl w:val="2"/>
        <w:rPr>
          <w:rFonts w:ascii="Trebuchet MS" w:eastAsia="Times New Roman" w:hAnsi="Trebuchet MS" w:cs="Arial"/>
          <w:b/>
          <w:bCs/>
          <w:caps/>
          <w:color w:val="FFFFFF"/>
          <w:spacing w:val="-15"/>
          <w:sz w:val="20"/>
          <w:szCs w:val="20"/>
        </w:rPr>
      </w:pPr>
      <w:r w:rsidRPr="00F23863">
        <w:rPr>
          <w:rFonts w:ascii="Trebuchet MS" w:eastAsia="Times New Roman" w:hAnsi="Trebuchet MS" w:cs="Arial"/>
          <w:b/>
          <w:bCs/>
          <w:caps/>
          <w:color w:val="FFFFFF"/>
          <w:spacing w:val="-15"/>
          <w:sz w:val="20"/>
          <w:szCs w:val="20"/>
          <w:shd w:val="clear" w:color="auto" w:fill="EC4413"/>
        </w:rPr>
        <w:t>CHIEF JUSTICE ROBERTS delivered the opinion of the Court.</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The Voting Rights Act of 1965 employed extraordinary measures to address an extraordinary problem. Section 5 of the Act required States to obtain federal permission before enacting any law related to voting—a drastic departure from basic principles of federalism. And §4 of the Act applied that requirement only to some States—an equally dramatic departure from the principle that all States enjoy equal sovereignty. This was strong medicine, but Congress determined it was needed to address entrenched racial discrimination in voting, "an insidious and pervasive evil which had been perpetuated in certain parts of our country through unremitting and ingenious defiance of the Constitution." </w:t>
      </w:r>
      <w:proofErr w:type="gramStart"/>
      <w:r w:rsidRPr="00F23863">
        <w:rPr>
          <w:rFonts w:ascii="Trebuchet MS" w:eastAsia="Times New Roman" w:hAnsi="Trebuchet MS" w:cs="Arial"/>
          <w:i/>
          <w:iCs/>
          <w:color w:val="333333"/>
          <w:sz w:val="20"/>
          <w:szCs w:val="20"/>
        </w:rPr>
        <w:t xml:space="preserve">South Carolina v. </w:t>
      </w:r>
      <w:proofErr w:type="spellStart"/>
      <w:r w:rsidRPr="00F23863">
        <w:rPr>
          <w:rFonts w:ascii="Trebuchet MS" w:eastAsia="Times New Roman" w:hAnsi="Trebuchet MS" w:cs="Arial"/>
          <w:i/>
          <w:iCs/>
          <w:color w:val="333333"/>
          <w:sz w:val="20"/>
          <w:szCs w:val="20"/>
        </w:rPr>
        <w:t>Katzenbach</w:t>
      </w:r>
      <w:proofErr w:type="spellEnd"/>
      <w:r w:rsidRPr="00F23863">
        <w:rPr>
          <w:rFonts w:ascii="Trebuchet MS" w:eastAsia="Times New Roman" w:hAnsi="Trebuchet MS" w:cs="Arial"/>
          <w:color w:val="333333"/>
          <w:sz w:val="20"/>
          <w:szCs w:val="20"/>
        </w:rPr>
        <w:t xml:space="preserve"> (1966).</w:t>
      </w:r>
      <w:proofErr w:type="gramEnd"/>
      <w:r w:rsidRPr="00F23863">
        <w:rPr>
          <w:rFonts w:ascii="Trebuchet MS" w:eastAsia="Times New Roman" w:hAnsi="Trebuchet MS" w:cs="Arial"/>
          <w:color w:val="333333"/>
          <w:sz w:val="20"/>
          <w:szCs w:val="20"/>
        </w:rPr>
        <w:t xml:space="preserve"> As we explained in upholding the law, "exceptional conditions can justify legislative measures not otherwise appropriate." Reflecting the unprecedented nature of these measures, they were scheduled to expire after five years.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lastRenderedPageBreak/>
        <w:t xml:space="preserve">Nearly 50 years later, they are still in effect; indeed, they have been made more stringent, and are now scheduled to last until 2031. There is no denying, however, that the conditions that originally justified these measures no longer characterize voting in the covered jurisdictions. </w:t>
      </w:r>
      <w:proofErr w:type="gramStart"/>
      <w:r w:rsidRPr="00F23863">
        <w:rPr>
          <w:rFonts w:ascii="Trebuchet MS" w:eastAsia="Times New Roman" w:hAnsi="Trebuchet MS" w:cs="Arial"/>
          <w:color w:val="333333"/>
          <w:sz w:val="20"/>
          <w:szCs w:val="20"/>
        </w:rPr>
        <w:t>By 2009, "the racial gap in voter registration and turnout [was] lower in the States originally covered by §5 than it [was] nationwide."</w:t>
      </w:r>
      <w:proofErr w:type="gramEnd"/>
      <w:r w:rsidRPr="00F23863">
        <w:rPr>
          <w:rFonts w:ascii="Trebuchet MS" w:eastAsia="Times New Roman" w:hAnsi="Trebuchet MS" w:cs="Arial"/>
          <w:color w:val="333333"/>
          <w:sz w:val="20"/>
          <w:szCs w:val="20"/>
        </w:rPr>
        <w:t xml:space="preserve"> </w:t>
      </w:r>
      <w:proofErr w:type="gramStart"/>
      <w:r w:rsidRPr="00F23863">
        <w:rPr>
          <w:rFonts w:ascii="Trebuchet MS" w:eastAsia="Times New Roman" w:hAnsi="Trebuchet MS" w:cs="Arial"/>
          <w:i/>
          <w:iCs/>
          <w:color w:val="333333"/>
          <w:sz w:val="20"/>
          <w:szCs w:val="20"/>
        </w:rPr>
        <w:t>Northwest Austin Municipal Util. Dist. No.</w:t>
      </w:r>
      <w:proofErr w:type="gramEnd"/>
      <w:r w:rsidRPr="00F23863">
        <w:rPr>
          <w:rFonts w:ascii="Trebuchet MS" w:eastAsia="Times New Roman" w:hAnsi="Trebuchet MS" w:cs="Arial"/>
          <w:i/>
          <w:iCs/>
          <w:color w:val="333333"/>
          <w:sz w:val="20"/>
          <w:szCs w:val="20"/>
        </w:rPr>
        <w:t xml:space="preserve"> </w:t>
      </w:r>
      <w:proofErr w:type="gramStart"/>
      <w:r w:rsidRPr="00F23863">
        <w:rPr>
          <w:rFonts w:ascii="Trebuchet MS" w:eastAsia="Times New Roman" w:hAnsi="Trebuchet MS" w:cs="Arial"/>
          <w:i/>
          <w:iCs/>
          <w:color w:val="333333"/>
          <w:sz w:val="20"/>
          <w:szCs w:val="20"/>
        </w:rPr>
        <w:t>One v. Holder</w:t>
      </w:r>
      <w:r w:rsidRPr="00F23863">
        <w:rPr>
          <w:rFonts w:ascii="Trebuchet MS" w:eastAsia="Times New Roman" w:hAnsi="Trebuchet MS" w:cs="Arial"/>
          <w:color w:val="333333"/>
          <w:sz w:val="20"/>
          <w:szCs w:val="20"/>
        </w:rPr>
        <w:t xml:space="preserve"> (2009).</w:t>
      </w:r>
      <w:proofErr w:type="gramEnd"/>
      <w:r w:rsidRPr="00F23863">
        <w:rPr>
          <w:rFonts w:ascii="Trebuchet MS" w:eastAsia="Times New Roman" w:hAnsi="Trebuchet MS" w:cs="Arial"/>
          <w:color w:val="333333"/>
          <w:sz w:val="20"/>
          <w:szCs w:val="20"/>
        </w:rPr>
        <w:t xml:space="preserve"> Since that time, Census Bureau data indicate that African-American voter turnout has come to exceed white voter turnout in five of the six States originally covered by §5, with a gap in the sixth State of less than one half of one percent.</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At the same time, voting discrimination still exists; no one doubts that. The question is whether the Act's extraordinary measures, including its disparate treatment of the States, continue to satisfy constitutional requirements. . . .</w:t>
      </w:r>
    </w:p>
    <w:p w:rsidR="00F23863" w:rsidRPr="00F23863" w:rsidRDefault="00F23863" w:rsidP="00F23863">
      <w:pPr>
        <w:shd w:val="clear" w:color="auto" w:fill="FFFFFF"/>
        <w:spacing w:after="0" w:line="270" w:lineRule="atLeast"/>
        <w:textAlignment w:val="top"/>
        <w:rPr>
          <w:rFonts w:ascii="Trebuchet MS" w:eastAsia="Times New Roman" w:hAnsi="Trebuchet MS" w:cs="Arial"/>
          <w:color w:val="444444"/>
          <w:sz w:val="18"/>
          <w:szCs w:val="18"/>
        </w:rPr>
      </w:pP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In </w:t>
      </w:r>
      <w:r w:rsidRPr="00F23863">
        <w:rPr>
          <w:rFonts w:ascii="Trebuchet MS" w:eastAsia="Times New Roman" w:hAnsi="Trebuchet MS" w:cs="Arial"/>
          <w:i/>
          <w:iCs/>
          <w:color w:val="333333"/>
          <w:sz w:val="20"/>
          <w:szCs w:val="20"/>
        </w:rPr>
        <w:t>Northwest Austin,</w:t>
      </w:r>
      <w:r w:rsidRPr="00F23863">
        <w:rPr>
          <w:rFonts w:ascii="Trebuchet MS" w:eastAsia="Times New Roman" w:hAnsi="Trebuchet MS" w:cs="Arial"/>
          <w:color w:val="333333"/>
          <w:sz w:val="20"/>
          <w:szCs w:val="20"/>
        </w:rPr>
        <w:t xml:space="preserve"> we stated that "the Act imposes current burdens and must be justified by current needs." And we concluded that "a departure from the fundamental principle of equal sovereignty requires a showing that a statute's disparate geographic coverage is sufficiently related to the problem that it targets." These basic principles guide our review of the question before us.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The Constitution and laws of the United States are "the supreme Law of the Land." State legislation may not contravene federal law. The Federal Government does not, however, have a general right to review and veto state enactments before they go into effect. A proposal to grant such authority to "negative" state laws was considered at the Constitutional Convention, but rejected in favor of allowing state laws to take effect, subject to later challenge under the Supremacy Clause.</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Outside the strictures of the Supremacy Clause, States retain broad autonomy in structuring their governments and pursuing legislative objectives. Indeed, the Constitution provides that all powers not specifically granted to the Federal Government are reserved to the States or citizens. This "allocation of powers in our federal system preserves the integrity, dignity, and residual sovereignty of the States. But the federal balance "is not just an end in itself: Rather, federalism secures to citizens the liberties that derive from the diffusion of sovereign power."</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More specifically, </w:t>
      </w:r>
      <w:proofErr w:type="gramStart"/>
      <w:r w:rsidRPr="00F23863">
        <w:rPr>
          <w:rFonts w:ascii="Trebuchet MS" w:eastAsia="Times New Roman" w:hAnsi="Trebuchet MS" w:cs="Arial"/>
          <w:color w:val="333333"/>
          <w:sz w:val="20"/>
          <w:szCs w:val="20"/>
        </w:rPr>
        <w:t>" `</w:t>
      </w:r>
      <w:proofErr w:type="gramEnd"/>
      <w:r w:rsidRPr="00F23863">
        <w:rPr>
          <w:rFonts w:ascii="Trebuchet MS" w:eastAsia="Times New Roman" w:hAnsi="Trebuchet MS" w:cs="Arial"/>
          <w:color w:val="333333"/>
          <w:sz w:val="20"/>
          <w:szCs w:val="20"/>
        </w:rPr>
        <w:t xml:space="preserve">the Framers of the Constitution intended the States to keep for themselves, as provided in the Tenth Amendment, the power to regulate elections.' </w:t>
      </w:r>
      <w:proofErr w:type="gramStart"/>
      <w:r w:rsidRPr="00F23863">
        <w:rPr>
          <w:rFonts w:ascii="Trebuchet MS" w:eastAsia="Times New Roman" w:hAnsi="Trebuchet MS" w:cs="Arial"/>
          <w:color w:val="333333"/>
          <w:sz w:val="20"/>
          <w:szCs w:val="20"/>
        </w:rPr>
        <w:t xml:space="preserve">" </w:t>
      </w:r>
      <w:r w:rsidRPr="00F23863">
        <w:rPr>
          <w:rFonts w:ascii="Trebuchet MS" w:eastAsia="Times New Roman" w:hAnsi="Trebuchet MS" w:cs="Arial"/>
          <w:i/>
          <w:iCs/>
          <w:color w:val="333333"/>
          <w:sz w:val="20"/>
          <w:szCs w:val="20"/>
        </w:rPr>
        <w:t>Gregory</w:t>
      </w:r>
      <w:proofErr w:type="gramEnd"/>
      <w:r w:rsidRPr="00F23863">
        <w:rPr>
          <w:rFonts w:ascii="Trebuchet MS" w:eastAsia="Times New Roman" w:hAnsi="Trebuchet MS" w:cs="Arial"/>
          <w:i/>
          <w:iCs/>
          <w:color w:val="333333"/>
          <w:sz w:val="20"/>
          <w:szCs w:val="20"/>
        </w:rPr>
        <w:t xml:space="preserve"> v. Ashcroft</w:t>
      </w:r>
      <w:r w:rsidRPr="00F23863">
        <w:rPr>
          <w:rFonts w:ascii="Trebuchet MS" w:eastAsia="Times New Roman" w:hAnsi="Trebuchet MS" w:cs="Arial"/>
          <w:color w:val="333333"/>
          <w:sz w:val="20"/>
          <w:szCs w:val="20"/>
        </w:rPr>
        <w:t xml:space="preserve"> (1991).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Not only do States retain sovereignty under the Constitution, there is also a "fundamental principle of </w:t>
      </w:r>
      <w:r w:rsidRPr="00F23863">
        <w:rPr>
          <w:rFonts w:ascii="Trebuchet MS" w:eastAsia="Times New Roman" w:hAnsi="Trebuchet MS" w:cs="Arial"/>
          <w:i/>
          <w:iCs/>
          <w:color w:val="333333"/>
          <w:sz w:val="20"/>
          <w:szCs w:val="20"/>
        </w:rPr>
        <w:t>equal</w:t>
      </w:r>
      <w:r w:rsidRPr="00F23863">
        <w:rPr>
          <w:rFonts w:ascii="Trebuchet MS" w:eastAsia="Times New Roman" w:hAnsi="Trebuchet MS" w:cs="Arial"/>
          <w:color w:val="333333"/>
          <w:sz w:val="20"/>
          <w:szCs w:val="20"/>
        </w:rPr>
        <w:t xml:space="preserve"> sovereignty" among the States. Over a hundred years ago, this Court explained that our Nation "was and is a union of States, equal in power, dignity and authority." </w:t>
      </w:r>
      <w:proofErr w:type="gramStart"/>
      <w:r w:rsidRPr="00F23863">
        <w:rPr>
          <w:rFonts w:ascii="Trebuchet MS" w:eastAsia="Times New Roman" w:hAnsi="Trebuchet MS" w:cs="Arial"/>
          <w:i/>
          <w:iCs/>
          <w:color w:val="333333"/>
          <w:sz w:val="20"/>
          <w:szCs w:val="20"/>
        </w:rPr>
        <w:t>Coyle v. Smith</w:t>
      </w:r>
      <w:r w:rsidRPr="00F23863">
        <w:rPr>
          <w:rFonts w:ascii="Trebuchet MS" w:eastAsia="Times New Roman" w:hAnsi="Trebuchet MS" w:cs="Arial"/>
          <w:color w:val="333333"/>
          <w:sz w:val="20"/>
          <w:szCs w:val="20"/>
        </w:rPr>
        <w:t xml:space="preserve"> (1911).</w:t>
      </w:r>
      <w:proofErr w:type="gramEnd"/>
      <w:r w:rsidRPr="00F23863">
        <w:rPr>
          <w:rFonts w:ascii="Trebuchet MS" w:eastAsia="Times New Roman" w:hAnsi="Trebuchet MS" w:cs="Arial"/>
          <w:color w:val="333333"/>
          <w:sz w:val="20"/>
          <w:szCs w:val="20"/>
        </w:rPr>
        <w:t xml:space="preserve"> Indeed, "the constitutional equality of the States is essential to the harmonious operation of the scheme upon which the Republic was organized."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The Voting Rights Act sharply departs from these basic principles. It suspends "</w:t>
      </w:r>
      <w:r w:rsidRPr="00F23863">
        <w:rPr>
          <w:rFonts w:ascii="Trebuchet MS" w:eastAsia="Times New Roman" w:hAnsi="Trebuchet MS" w:cs="Arial"/>
          <w:i/>
          <w:iCs/>
          <w:color w:val="333333"/>
          <w:sz w:val="20"/>
          <w:szCs w:val="20"/>
        </w:rPr>
        <w:t>all</w:t>
      </w:r>
      <w:r w:rsidRPr="00F23863">
        <w:rPr>
          <w:rFonts w:ascii="Trebuchet MS" w:eastAsia="Times New Roman" w:hAnsi="Trebuchet MS" w:cs="Arial"/>
          <w:color w:val="333333"/>
          <w:sz w:val="20"/>
          <w:szCs w:val="20"/>
        </w:rPr>
        <w:t xml:space="preserve"> changes to state election law—however innocuous—until they have been precleared by federal authorities in Washington, D.C." States must beseech the Federal Government for permission to implement laws that they would otherwise have the right to enact and execute on their own, subject of course to any injunction in a §2 action. The Attorney General has 60 days to object to a preclearance request, longer if he requests more information. If a State seeks preclearance from a three-judge court, the process can take years.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And despite the tradition of equal sovereignty, the Act applies to only nine States (and several additional counties). While one State waits months or years and expends funds to implement a validly enacted law, its neighbor can typically put the same law into effect immediately, through the normal </w:t>
      </w:r>
      <w:r w:rsidRPr="00F23863">
        <w:rPr>
          <w:rFonts w:ascii="Trebuchet MS" w:eastAsia="Times New Roman" w:hAnsi="Trebuchet MS" w:cs="Arial"/>
          <w:color w:val="333333"/>
          <w:sz w:val="20"/>
          <w:szCs w:val="20"/>
        </w:rPr>
        <w:lastRenderedPageBreak/>
        <w:t xml:space="preserve">legislative process. Even if a </w:t>
      </w:r>
      <w:proofErr w:type="spellStart"/>
      <w:r w:rsidRPr="00F23863">
        <w:rPr>
          <w:rFonts w:ascii="Trebuchet MS" w:eastAsia="Times New Roman" w:hAnsi="Trebuchet MS" w:cs="Arial"/>
          <w:color w:val="333333"/>
          <w:sz w:val="20"/>
          <w:szCs w:val="20"/>
        </w:rPr>
        <w:t>noncovered</w:t>
      </w:r>
      <w:proofErr w:type="spellEnd"/>
      <w:r w:rsidRPr="00F23863">
        <w:rPr>
          <w:rFonts w:ascii="Trebuchet MS" w:eastAsia="Times New Roman" w:hAnsi="Trebuchet MS" w:cs="Arial"/>
          <w:color w:val="333333"/>
          <w:sz w:val="20"/>
          <w:szCs w:val="20"/>
        </w:rPr>
        <w:t xml:space="preserve"> jurisdiction is sued, there are important differences between those proceedings and preclearance proceedings; the preclearance proceeding "not only switches the burden of proof to the supplicant jurisdiction, but also applies substantive standards quite different from those governing the rest of the nation."</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All this explains why, when we first upheld the Act in 1966, we described it as "stringent" and "potent." </w:t>
      </w:r>
      <w:proofErr w:type="spellStart"/>
      <w:proofErr w:type="gramStart"/>
      <w:r w:rsidRPr="00F23863">
        <w:rPr>
          <w:rFonts w:ascii="Trebuchet MS" w:eastAsia="Times New Roman" w:hAnsi="Trebuchet MS" w:cs="Arial"/>
          <w:i/>
          <w:iCs/>
          <w:color w:val="333333"/>
          <w:sz w:val="20"/>
          <w:szCs w:val="20"/>
        </w:rPr>
        <w:t>Katzenbach</w:t>
      </w:r>
      <w:proofErr w:type="spellEnd"/>
      <w:r w:rsidRPr="00F23863">
        <w:rPr>
          <w:rFonts w:ascii="Trebuchet MS" w:eastAsia="Times New Roman" w:hAnsi="Trebuchet MS" w:cs="Arial"/>
          <w:i/>
          <w:iCs/>
          <w:color w:val="333333"/>
          <w:sz w:val="20"/>
          <w:szCs w:val="20"/>
        </w:rPr>
        <w:t>.</w:t>
      </w:r>
      <w:proofErr w:type="gramEnd"/>
      <w:r w:rsidRPr="00F23863">
        <w:rPr>
          <w:rFonts w:ascii="Trebuchet MS" w:eastAsia="Times New Roman" w:hAnsi="Trebuchet MS" w:cs="Arial"/>
          <w:color w:val="333333"/>
          <w:sz w:val="20"/>
          <w:szCs w:val="20"/>
        </w:rPr>
        <w:t xml:space="preserve"> We recognized that it "may have been an uncommon exercise of congressional power," but concluded that "legislative measures not otherwise appropriate" could be justified by "exceptional conditions."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In 1966, we found these departures from the basic features of our system of government justified. The "blight of racial discrimination in voting" had "infected the electoral process in parts of our country for nearly a century." </w:t>
      </w:r>
      <w:proofErr w:type="spellStart"/>
      <w:proofErr w:type="gramStart"/>
      <w:r w:rsidRPr="00F23863">
        <w:rPr>
          <w:rFonts w:ascii="Trebuchet MS" w:eastAsia="Times New Roman" w:hAnsi="Trebuchet MS" w:cs="Arial"/>
          <w:i/>
          <w:iCs/>
          <w:color w:val="333333"/>
          <w:sz w:val="20"/>
          <w:szCs w:val="20"/>
        </w:rPr>
        <w:t>Katzenbach</w:t>
      </w:r>
      <w:proofErr w:type="spellEnd"/>
      <w:r w:rsidRPr="00F23863">
        <w:rPr>
          <w:rFonts w:ascii="Trebuchet MS" w:eastAsia="Times New Roman" w:hAnsi="Trebuchet MS" w:cs="Arial"/>
          <w:i/>
          <w:iCs/>
          <w:color w:val="333333"/>
          <w:sz w:val="20"/>
          <w:szCs w:val="20"/>
        </w:rPr>
        <w:t>.</w:t>
      </w:r>
      <w:proofErr w:type="gramEnd"/>
      <w:r w:rsidRPr="00F23863">
        <w:rPr>
          <w:rFonts w:ascii="Trebuchet MS" w:eastAsia="Times New Roman" w:hAnsi="Trebuchet MS" w:cs="Arial"/>
          <w:color w:val="333333"/>
          <w:sz w:val="20"/>
          <w:szCs w:val="20"/>
        </w:rPr>
        <w:t xml:space="preserve"> Several States had enacted a variety of requirements and tests "specifically designed to prevent" African-Americans from voting. Case-by-case litigation had proved inadequate to prevent such racial discrimination in voting, in part because States "merely switched to discriminatory devices not covered by the federal decrees," "enacted difficult new tests," or simply "defied and evaded court orders." Shortly before enactment of the Voting Rights Act, only 19.4 percent of African-Americans of voting age were registered to vote in Alabama, only 31.8 percent in Louisiana, and only 6.4 percent in Mississippi. Those figures were roughly 50 percentage points or more below the figures for whites.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In short, we concluded that "[u]</w:t>
      </w:r>
      <w:proofErr w:type="spellStart"/>
      <w:r w:rsidRPr="00F23863">
        <w:rPr>
          <w:rFonts w:ascii="Trebuchet MS" w:eastAsia="Times New Roman" w:hAnsi="Trebuchet MS" w:cs="Arial"/>
          <w:color w:val="333333"/>
          <w:sz w:val="20"/>
          <w:szCs w:val="20"/>
        </w:rPr>
        <w:t>nder</w:t>
      </w:r>
      <w:proofErr w:type="spellEnd"/>
      <w:r w:rsidRPr="00F23863">
        <w:rPr>
          <w:rFonts w:ascii="Trebuchet MS" w:eastAsia="Times New Roman" w:hAnsi="Trebuchet MS" w:cs="Arial"/>
          <w:color w:val="333333"/>
          <w:sz w:val="20"/>
          <w:szCs w:val="20"/>
        </w:rPr>
        <w:t xml:space="preserve"> the compulsion of these unique circumstances, Congress responded in a permissibly decisive manner." We also noted then and have emphasized since that this extraordinary legislation was intended to be temporary, set to expire after five years.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proofErr w:type="gramStart"/>
      <w:r w:rsidRPr="00F23863">
        <w:rPr>
          <w:rFonts w:ascii="Trebuchet MS" w:eastAsia="Times New Roman" w:hAnsi="Trebuchet MS" w:cs="Arial"/>
          <w:color w:val="333333"/>
          <w:sz w:val="20"/>
          <w:szCs w:val="20"/>
        </w:rPr>
        <w:t>At the time, the coverage formula—the means of linking the exercise of the unprecedented authority with the problem that warranted it—made sense.</w:t>
      </w:r>
      <w:proofErr w:type="gramEnd"/>
      <w:r w:rsidRPr="00F23863">
        <w:rPr>
          <w:rFonts w:ascii="Trebuchet MS" w:eastAsia="Times New Roman" w:hAnsi="Trebuchet MS" w:cs="Arial"/>
          <w:color w:val="333333"/>
          <w:sz w:val="20"/>
          <w:szCs w:val="20"/>
        </w:rPr>
        <w:t xml:space="preserve"> We found that "Congress chose to limit its attention to the geographic areas where immediate action seemed necessary." </w:t>
      </w:r>
      <w:proofErr w:type="spellStart"/>
      <w:proofErr w:type="gramStart"/>
      <w:r w:rsidRPr="00F23863">
        <w:rPr>
          <w:rFonts w:ascii="Trebuchet MS" w:eastAsia="Times New Roman" w:hAnsi="Trebuchet MS" w:cs="Arial"/>
          <w:i/>
          <w:iCs/>
          <w:color w:val="333333"/>
          <w:sz w:val="20"/>
          <w:szCs w:val="20"/>
        </w:rPr>
        <w:t>Katzenbach</w:t>
      </w:r>
      <w:proofErr w:type="spellEnd"/>
      <w:r w:rsidRPr="00F23863">
        <w:rPr>
          <w:rFonts w:ascii="Trebuchet MS" w:eastAsia="Times New Roman" w:hAnsi="Trebuchet MS" w:cs="Arial"/>
          <w:i/>
          <w:iCs/>
          <w:color w:val="333333"/>
          <w:sz w:val="20"/>
          <w:szCs w:val="20"/>
        </w:rPr>
        <w:t>.</w:t>
      </w:r>
      <w:proofErr w:type="gramEnd"/>
      <w:r w:rsidRPr="00F23863">
        <w:rPr>
          <w:rFonts w:ascii="Trebuchet MS" w:eastAsia="Times New Roman" w:hAnsi="Trebuchet MS" w:cs="Arial"/>
          <w:color w:val="333333"/>
          <w:sz w:val="20"/>
          <w:szCs w:val="20"/>
        </w:rPr>
        <w:t xml:space="preserve"> The areas where Congress found "evidence of actual voting discrimination" shared two characteristics: "the use of tests and devices for voter registration, and a voting rate in the 1964 presidential election at least 12 points below the national average." We explained that "[t]</w:t>
      </w:r>
      <w:proofErr w:type="spellStart"/>
      <w:r w:rsidRPr="00F23863">
        <w:rPr>
          <w:rFonts w:ascii="Trebuchet MS" w:eastAsia="Times New Roman" w:hAnsi="Trebuchet MS" w:cs="Arial"/>
          <w:color w:val="333333"/>
          <w:sz w:val="20"/>
          <w:szCs w:val="20"/>
        </w:rPr>
        <w:t>ests</w:t>
      </w:r>
      <w:proofErr w:type="spellEnd"/>
      <w:r w:rsidRPr="00F23863">
        <w:rPr>
          <w:rFonts w:ascii="Trebuchet MS" w:eastAsia="Times New Roman" w:hAnsi="Trebuchet MS" w:cs="Arial"/>
          <w:color w:val="333333"/>
          <w:sz w:val="20"/>
          <w:szCs w:val="20"/>
        </w:rPr>
        <w:t xml:space="preserve"> and devices are relevant to voting discrimination because of their long history as a tool for perpetrating the evil; a low voting rate is pertinent for the obvious reason that widespread disenfranchisement must inevitably affect the number of actual voters." We therefore concluded that "the coverage formula [was] rational in both practice and theory." It accurately reflected those jurisdictions uniquely characterized by voting discrimination "on a pervasive scale," linking coverage to the devices used to effectuate discrimination and to the resulting disenfranchisement. The formula ensured that the "stringent remedies [were] aimed at areas where voting discrimination ha[d] been most flagrant."</w:t>
      </w:r>
    </w:p>
    <w:p w:rsidR="00F23863" w:rsidRPr="00F23863" w:rsidRDefault="00F23863" w:rsidP="00F23863">
      <w:pPr>
        <w:shd w:val="clear" w:color="auto" w:fill="FFFFFF"/>
        <w:spacing w:after="0" w:line="270" w:lineRule="atLeast"/>
        <w:textAlignment w:val="top"/>
        <w:rPr>
          <w:rFonts w:ascii="Trebuchet MS" w:eastAsia="Times New Roman" w:hAnsi="Trebuchet MS" w:cs="Arial"/>
          <w:color w:val="444444"/>
          <w:sz w:val="18"/>
          <w:szCs w:val="18"/>
        </w:rPr>
      </w:pP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Nearly 50 years later, things have changed dramatically. Shelby County contends that the preclearance requirement, even without regard to its disparate coverage, is now unconstitutional. Its arguments have a good deal of force. In the covered jurisdictions, "[v]</w:t>
      </w:r>
      <w:proofErr w:type="spellStart"/>
      <w:r w:rsidRPr="00F23863">
        <w:rPr>
          <w:rFonts w:ascii="Trebuchet MS" w:eastAsia="Times New Roman" w:hAnsi="Trebuchet MS" w:cs="Arial"/>
          <w:color w:val="333333"/>
          <w:sz w:val="20"/>
          <w:szCs w:val="20"/>
        </w:rPr>
        <w:t>oter</w:t>
      </w:r>
      <w:proofErr w:type="spellEnd"/>
      <w:r w:rsidRPr="00F23863">
        <w:rPr>
          <w:rFonts w:ascii="Trebuchet MS" w:eastAsia="Times New Roman" w:hAnsi="Trebuchet MS" w:cs="Arial"/>
          <w:color w:val="333333"/>
          <w:sz w:val="20"/>
          <w:szCs w:val="20"/>
        </w:rPr>
        <w:t xml:space="preserve"> turnout and registration rates now approach parity. Blatantly discriminatory evasions of federal decrees are rare. And minority candidates hold office at unprecedented levels." </w:t>
      </w:r>
      <w:r w:rsidRPr="00F23863">
        <w:rPr>
          <w:rFonts w:ascii="Trebuchet MS" w:eastAsia="Times New Roman" w:hAnsi="Trebuchet MS" w:cs="Arial"/>
          <w:i/>
          <w:iCs/>
          <w:color w:val="333333"/>
          <w:sz w:val="20"/>
          <w:szCs w:val="20"/>
        </w:rPr>
        <w:t>Northwest Austin.</w:t>
      </w:r>
      <w:r w:rsidRPr="00F23863">
        <w:rPr>
          <w:rFonts w:ascii="Trebuchet MS" w:eastAsia="Times New Roman" w:hAnsi="Trebuchet MS" w:cs="Arial"/>
          <w:color w:val="333333"/>
          <w:sz w:val="20"/>
          <w:szCs w:val="20"/>
        </w:rPr>
        <w:t xml:space="preserve"> The tests and devices that blocked access to the ballot have been forbidden nationwide for over 40 years.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Those conclusions are not ours alone. Congress said the same when it reauthorized the Act in 2006, writing that "[s]</w:t>
      </w:r>
      <w:proofErr w:type="spellStart"/>
      <w:r w:rsidRPr="00F23863">
        <w:rPr>
          <w:rFonts w:ascii="Trebuchet MS" w:eastAsia="Times New Roman" w:hAnsi="Trebuchet MS" w:cs="Arial"/>
          <w:color w:val="333333"/>
          <w:sz w:val="20"/>
          <w:szCs w:val="20"/>
        </w:rPr>
        <w:t>ignificant</w:t>
      </w:r>
      <w:proofErr w:type="spellEnd"/>
      <w:r w:rsidRPr="00F23863">
        <w:rPr>
          <w:rFonts w:ascii="Trebuchet MS" w:eastAsia="Times New Roman" w:hAnsi="Trebuchet MS" w:cs="Arial"/>
          <w:color w:val="333333"/>
          <w:sz w:val="20"/>
          <w:szCs w:val="20"/>
        </w:rPr>
        <w:t xml:space="preserve"> progress has been made in eliminating first generation barriers experienced by minority voters, including increased numbers of registered minority voters, minority voter turnout, and minority representation in Congress, State legislatures, and local elected offices." . . . That Report </w:t>
      </w:r>
      <w:r w:rsidRPr="00F23863">
        <w:rPr>
          <w:rFonts w:ascii="Trebuchet MS" w:eastAsia="Times New Roman" w:hAnsi="Trebuchet MS" w:cs="Arial"/>
          <w:color w:val="333333"/>
          <w:sz w:val="20"/>
          <w:szCs w:val="20"/>
        </w:rPr>
        <w:lastRenderedPageBreak/>
        <w:t>also explained that there have been "significant increases in the number of African-Americans serving in elected offices"; more specifically, there has been approximately a 1,000 percent increase since 1965 in the number of African-American elected officials in the six States originally covered by the Voting Rights Act.</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The following chart, compiled from the Senate and House Reports, compares voter registration numbers from 1965 to those from 2004 in the six originally covered States. These are the numbers that were before Congress when it reauthorized the Act in 2006:</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Pr>
          <w:rFonts w:ascii="Trebuchet MS" w:eastAsia="Times New Roman" w:hAnsi="Trebuchet MS" w:cs="Arial"/>
          <w:noProof/>
          <w:color w:val="333333"/>
          <w:sz w:val="20"/>
          <w:szCs w:val="20"/>
        </w:rPr>
        <w:drawing>
          <wp:inline distT="0" distB="0" distL="0" distR="0">
            <wp:extent cx="5657850" cy="1905000"/>
            <wp:effectExtent l="0" t="0" r="0" b="0"/>
            <wp:docPr id="1" name="Picture 1" descr="http://college.cqpress.com/sites/portals/17/images/Graph-for-Shel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lege.cqpress.com/sites/portals/17/images/Graph-for-Shelb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1905000"/>
                    </a:xfrm>
                    <a:prstGeom prst="rect">
                      <a:avLst/>
                    </a:prstGeom>
                    <a:noFill/>
                    <a:ln>
                      <a:noFill/>
                    </a:ln>
                  </pic:spPr>
                </pic:pic>
              </a:graphicData>
            </a:graphic>
          </wp:inline>
        </w:drawing>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There is no doubt that these improvements are in large part </w:t>
      </w:r>
      <w:r w:rsidRPr="00F23863">
        <w:rPr>
          <w:rFonts w:ascii="Trebuchet MS" w:eastAsia="Times New Roman" w:hAnsi="Trebuchet MS" w:cs="Arial"/>
          <w:i/>
          <w:iCs/>
          <w:color w:val="333333"/>
          <w:sz w:val="20"/>
          <w:szCs w:val="20"/>
        </w:rPr>
        <w:t>because of</w:t>
      </w:r>
      <w:r w:rsidRPr="00F23863">
        <w:rPr>
          <w:rFonts w:ascii="Trebuchet MS" w:eastAsia="Times New Roman" w:hAnsi="Trebuchet MS" w:cs="Arial"/>
          <w:color w:val="333333"/>
          <w:sz w:val="20"/>
          <w:szCs w:val="20"/>
        </w:rPr>
        <w:t xml:space="preserve"> the Voting Rights Act. . . . Problems remain in these States and others, but there is no denying that, due to the Voting Rights Act, our Nation has made great strides.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Yet the Act has not eased the restrictions in §5 or narrowed the scope of the coverage formula in §4(b) along the way. Those extraordinary and unprecedented features were reauthorized—as if nothing had changed. In fact, the Act's unusual remedies have grown even stronger. When Congress reauthorized the Act in 2006, it did so for another 25 years on top of the previous 40—a far cry from the initial five-year period. . . .</w:t>
      </w:r>
    </w:p>
    <w:p w:rsidR="00F23863" w:rsidRPr="00F23863" w:rsidRDefault="00F23863" w:rsidP="00F23863">
      <w:pPr>
        <w:shd w:val="clear" w:color="auto" w:fill="FFFFFF"/>
        <w:spacing w:after="0" w:line="270" w:lineRule="atLeast"/>
        <w:textAlignment w:val="top"/>
        <w:rPr>
          <w:rFonts w:ascii="Trebuchet MS" w:eastAsia="Times New Roman" w:hAnsi="Trebuchet MS" w:cs="Arial"/>
          <w:color w:val="444444"/>
          <w:sz w:val="18"/>
          <w:szCs w:val="18"/>
        </w:rPr>
      </w:pP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r w:rsidRPr="00F23863">
        <w:rPr>
          <w:rFonts w:ascii="Trebuchet MS" w:eastAsia="Times New Roman" w:hAnsi="Trebuchet MS" w:cs="Arial"/>
          <w:color w:val="444444"/>
          <w:sz w:val="18"/>
          <w:szCs w:val="18"/>
        </w:rPr>
        <w:t> </w:t>
      </w:r>
      <w:r w:rsidRPr="00F23863">
        <w:rPr>
          <w:rFonts w:ascii="Cambria Math" w:eastAsia="Times New Roman" w:hAnsi="Cambria Math" w:cs="Cambria Math"/>
          <w:color w:val="444444"/>
          <w:sz w:val="18"/>
          <w:szCs w:val="18"/>
        </w:rPr>
        <w:t>∗</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Coverage today is based on decades-old data and eradicated practices. The formula captures States by reference to literacy tests and low voter registration and turnout in the 1960s and early 1970s. But such tests have been banned nationwide for over 40 years. And voter registration and turnout numbers in the covered States have risen dramatically in the years since. Racial disparity in those numbers was compelling evidence justifying the preclearance remedy and the coverage formula. There is no longer such a disparity.</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In 1965, the States could be divided into two groups: those with a recent history of voting tests and low voter registration and turnout, and those without those characteristics. Congress based its coverage formula on that distinction. Today the Nation is no longer divided along those lines, yet the Voting Rights Act continues to treat it as if it were.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[H]</w:t>
      </w:r>
      <w:proofErr w:type="spellStart"/>
      <w:r w:rsidRPr="00F23863">
        <w:rPr>
          <w:rFonts w:ascii="Trebuchet MS" w:eastAsia="Times New Roman" w:hAnsi="Trebuchet MS" w:cs="Arial"/>
          <w:color w:val="333333"/>
          <w:sz w:val="20"/>
          <w:szCs w:val="20"/>
        </w:rPr>
        <w:t>istory</w:t>
      </w:r>
      <w:proofErr w:type="spellEnd"/>
      <w:r w:rsidRPr="00F23863">
        <w:rPr>
          <w:rFonts w:ascii="Trebuchet MS" w:eastAsia="Times New Roman" w:hAnsi="Trebuchet MS" w:cs="Arial"/>
          <w:color w:val="333333"/>
          <w:sz w:val="20"/>
          <w:szCs w:val="20"/>
        </w:rPr>
        <w:t xml:space="preserve"> did not end in 1965. By the time the Act was reauthorized in 2006, there had been 40 more years of it. In assessing the "current need" for a preclearance system that treats States differently from one another today, that history cannot be ignored. During that time, largely because of the Voting Rights Act, voting tests were abolished, disparities in voter registration and turnout due to race were erased, and African-Americans attained political office in record numbers. And yet the coverage formula that Congress reauthorized in 2006 ignores these developments, keeping the focus on decades-old data relevant to decades-old problems, rather than current data reflecting current needs.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lastRenderedPageBreak/>
        <w:t xml:space="preserve">The Fifteenth Amendment commands that the right to vote shall not be denied or abridged on account of race or color, and it gives Congress the power to enforce that command. The Amendment is not designed to punish for the past; its purpose is to ensure a better future. To serve that purpose, Congress—if it is to divide the States—must identify those jurisdictions to be singled out on a basis that makes sense in light of current conditions. It cannot rely simply on the past. We made that clear in </w:t>
      </w:r>
      <w:r w:rsidRPr="00F23863">
        <w:rPr>
          <w:rFonts w:ascii="Trebuchet MS" w:eastAsia="Times New Roman" w:hAnsi="Trebuchet MS" w:cs="Arial"/>
          <w:i/>
          <w:iCs/>
          <w:color w:val="333333"/>
          <w:sz w:val="20"/>
          <w:szCs w:val="20"/>
        </w:rPr>
        <w:t>Northwest Austin,</w:t>
      </w:r>
      <w:r w:rsidRPr="00F23863">
        <w:rPr>
          <w:rFonts w:ascii="Trebuchet MS" w:eastAsia="Times New Roman" w:hAnsi="Trebuchet MS" w:cs="Arial"/>
          <w:color w:val="333333"/>
          <w:sz w:val="20"/>
          <w:szCs w:val="20"/>
        </w:rPr>
        <w:t xml:space="preserve"> and we make it clear again today.</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 . If Congress had started from scratch in 2006, it plainly could not have enacted the present coverage formula. It would have been irrational for Congress to distinguish between States in such a fundamental way based on 40-year-old data, when today's statistics tell an entirely different story. And it would have been irrational to base coverage on the use of voting tests 40 years ago, when such tests have been illegal since that time. But that is exactly what Congress has done.</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 . . Congress could have updated the coverage formula [when it reauthorized the Act], but did not do so. Its failure to act leaves us today with no choice but to declare §4(b) unconstitutional. The formula in that section can no longer be used as a basis for subjecting jurisdictions to preclearance.</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Our decision in no way affects the permanent, nationwide ban on racial discrimination in voting found in §2. We issue no holding on §5 itself, only on the coverage formula. Congress may draft another formula based on current conditions. Such a formula is an initial prerequisite to a determination that exceptional conditions still exist justifying such an "extraordinary departure from the traditional course of relations between the States and the Federal Government." Our country has changed, and while any racial discrimination in voting is too much, Congress must ensure that the legislation it passes to remedy that problem speaks to current conditions.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w:t>
      </w:r>
      <w:r w:rsidRPr="00F23863">
        <w:rPr>
          <w:rFonts w:ascii="Trebuchet MS" w:eastAsia="Times New Roman" w:hAnsi="Trebuchet MS" w:cs="Arial"/>
          <w:color w:val="333333"/>
          <w:sz w:val="20"/>
          <w:szCs w:val="20"/>
        </w:rPr>
        <w:t> </w:t>
      </w:r>
      <w:r w:rsidRPr="00F23863">
        <w:rPr>
          <w:rFonts w:ascii="Trebuchet MS" w:eastAsia="Times New Roman" w:hAnsi="Trebuchet MS" w:cs="Arial"/>
          <w:color w:val="333333"/>
          <w:sz w:val="20"/>
          <w:szCs w:val="20"/>
        </w:rPr>
        <w:t>The judgment of the Court of Appeals is reversed.</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It is so ordered.</w:t>
      </w:r>
    </w:p>
    <w:p w:rsidR="00F23863" w:rsidRPr="00F23863" w:rsidRDefault="00F23863" w:rsidP="00F23863">
      <w:pPr>
        <w:shd w:val="clear" w:color="auto" w:fill="FFFFFF"/>
        <w:spacing w:after="150" w:line="225" w:lineRule="atLeast"/>
        <w:textAlignment w:val="top"/>
        <w:outlineLvl w:val="2"/>
        <w:rPr>
          <w:rFonts w:ascii="Trebuchet MS" w:eastAsia="Times New Roman" w:hAnsi="Trebuchet MS" w:cs="Arial"/>
          <w:b/>
          <w:bCs/>
          <w:caps/>
          <w:color w:val="FFFFFF"/>
          <w:spacing w:val="-15"/>
          <w:sz w:val="20"/>
          <w:szCs w:val="20"/>
        </w:rPr>
      </w:pPr>
      <w:proofErr w:type="gramStart"/>
      <w:r w:rsidRPr="00F23863">
        <w:rPr>
          <w:rFonts w:ascii="Trebuchet MS" w:eastAsia="Times New Roman" w:hAnsi="Trebuchet MS" w:cs="Arial"/>
          <w:b/>
          <w:bCs/>
          <w:caps/>
          <w:color w:val="FFFFFF"/>
          <w:spacing w:val="-15"/>
          <w:sz w:val="20"/>
          <w:szCs w:val="20"/>
          <w:shd w:val="clear" w:color="auto" w:fill="EC4413"/>
        </w:rPr>
        <w:t>JUSTICE THOMAS, concurring.</w:t>
      </w:r>
      <w:proofErr w:type="gramEnd"/>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I join the Court's opinion in full but write separately to explain that I would find §5 of the Voting Rights Act unconstitutional as well. The Court's opinion sets forth the reasons.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Today, our Nation has changed. "[T]he conditions that originally justified [§5] no longer characterize voting in the covered jurisdictions." As the Court explains: </w:t>
      </w:r>
      <w:proofErr w:type="gramStart"/>
      <w:r w:rsidRPr="00F23863">
        <w:rPr>
          <w:rFonts w:ascii="Trebuchet MS" w:eastAsia="Times New Roman" w:hAnsi="Trebuchet MS" w:cs="Arial"/>
          <w:color w:val="333333"/>
          <w:sz w:val="20"/>
          <w:szCs w:val="20"/>
        </w:rPr>
        <w:t>" `</w:t>
      </w:r>
      <w:proofErr w:type="gramEnd"/>
      <w:r w:rsidRPr="00F23863">
        <w:rPr>
          <w:rFonts w:ascii="Trebuchet MS" w:eastAsia="Times New Roman" w:hAnsi="Trebuchet MS" w:cs="Arial"/>
          <w:color w:val="333333"/>
          <w:sz w:val="20"/>
          <w:szCs w:val="20"/>
        </w:rPr>
        <w:t>[V]</w:t>
      </w:r>
      <w:proofErr w:type="spellStart"/>
      <w:r w:rsidRPr="00F23863">
        <w:rPr>
          <w:rFonts w:ascii="Trebuchet MS" w:eastAsia="Times New Roman" w:hAnsi="Trebuchet MS" w:cs="Arial"/>
          <w:color w:val="333333"/>
          <w:sz w:val="20"/>
          <w:szCs w:val="20"/>
        </w:rPr>
        <w:t>oter</w:t>
      </w:r>
      <w:proofErr w:type="spellEnd"/>
      <w:r w:rsidRPr="00F23863">
        <w:rPr>
          <w:rFonts w:ascii="Trebuchet MS" w:eastAsia="Times New Roman" w:hAnsi="Trebuchet MS" w:cs="Arial"/>
          <w:color w:val="333333"/>
          <w:sz w:val="20"/>
          <w:szCs w:val="20"/>
        </w:rPr>
        <w:t xml:space="preserve"> turnout and registration rates now approach parity. Blatantly discriminatory evasions of federal decrees are rare. And minority candidates hold office at unprecedented levels.'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In spite of these improvements, however, Congress increased the already significant burdens of §5.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However one aggregates the data compiled by Congress, it cannot justify the considerable burdens created by §5. . . . Section 5 is, thus, unconstitutional.</w:t>
      </w:r>
    </w:p>
    <w:p w:rsidR="00F23863" w:rsidRPr="00F23863" w:rsidRDefault="00F23863" w:rsidP="00F23863">
      <w:pPr>
        <w:shd w:val="clear" w:color="auto" w:fill="FFFFFF"/>
        <w:spacing w:after="150" w:line="225" w:lineRule="atLeast"/>
        <w:textAlignment w:val="top"/>
        <w:outlineLvl w:val="2"/>
        <w:rPr>
          <w:rFonts w:ascii="Trebuchet MS" w:eastAsia="Times New Roman" w:hAnsi="Trebuchet MS" w:cs="Arial"/>
          <w:b/>
          <w:bCs/>
          <w:caps/>
          <w:color w:val="FFFFFF"/>
          <w:spacing w:val="-15"/>
          <w:sz w:val="20"/>
          <w:szCs w:val="20"/>
        </w:rPr>
      </w:pPr>
      <w:proofErr w:type="gramStart"/>
      <w:r w:rsidRPr="00F23863">
        <w:rPr>
          <w:rFonts w:ascii="Trebuchet MS" w:eastAsia="Times New Roman" w:hAnsi="Trebuchet MS" w:cs="Arial"/>
          <w:b/>
          <w:bCs/>
          <w:caps/>
          <w:color w:val="FFFFFF"/>
          <w:spacing w:val="-15"/>
          <w:sz w:val="20"/>
          <w:szCs w:val="20"/>
          <w:shd w:val="clear" w:color="auto" w:fill="EC4413"/>
        </w:rPr>
        <w:t>JUSTICE GINSBURG, with whom JUSTICE BREYER, JUSTICE SOTOMAYOR, and JUSTICE KAGAN join, dissenting.</w:t>
      </w:r>
      <w:proofErr w:type="gramEnd"/>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In the Court's view, the very success of §5 of the Voting Rights Act demands its dormancy. Congress was of another mind. Recognizing that large progress has been made, Congress determined, based on a voluminous record, that the scourge of discrimination was not yet extirpated. The question this case presents is who decides whether, as currently operative, §5 remains justifiable, this Court, or a Congress charged with the obligation to enforce the post–Civil War Amendments "by appropriate legislation." With overwhelming support in both Houses, Congress concluded that, for two prime reasons, §5 should continue in force, unabated. First, continuance would facilitate completion of the </w:t>
      </w:r>
      <w:r w:rsidRPr="00F23863">
        <w:rPr>
          <w:rFonts w:ascii="Trebuchet MS" w:eastAsia="Times New Roman" w:hAnsi="Trebuchet MS" w:cs="Arial"/>
          <w:color w:val="333333"/>
          <w:sz w:val="20"/>
          <w:szCs w:val="20"/>
        </w:rPr>
        <w:lastRenderedPageBreak/>
        <w:t>impressive gains thus far made; and second, continuance would guard against backsliding. Those assessments were well within Congress' province to make and should elicit this Court's unstinting approbation.</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"[V]</w:t>
      </w:r>
      <w:proofErr w:type="spellStart"/>
      <w:r w:rsidRPr="00F23863">
        <w:rPr>
          <w:rFonts w:ascii="Trebuchet MS" w:eastAsia="Times New Roman" w:hAnsi="Trebuchet MS" w:cs="Arial"/>
          <w:color w:val="333333"/>
          <w:sz w:val="20"/>
          <w:szCs w:val="20"/>
        </w:rPr>
        <w:t>oting</w:t>
      </w:r>
      <w:proofErr w:type="spellEnd"/>
      <w:r w:rsidRPr="00F23863">
        <w:rPr>
          <w:rFonts w:ascii="Trebuchet MS" w:eastAsia="Times New Roman" w:hAnsi="Trebuchet MS" w:cs="Arial"/>
          <w:color w:val="333333"/>
          <w:sz w:val="20"/>
          <w:szCs w:val="20"/>
        </w:rPr>
        <w:t xml:space="preserve"> discrimination still exists; no one doubts that." But the Court today terminates the remedy that proved to be best suited to block that discrimination. The Voting Rights Act of 1965 (VRA) has worked to combat voting discrimination where other remedies had been tried and failed. Particularly effective is the VRA's requirement of federal preclearance for all changes to voting laws in the regions of the country with the most aggravated records of rank discrimination against minority voting rights.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A century after the Fourteenth and Fifteenth Amendments guaranteed citizens the right to vote free of discrimination on the basis of race, the "blight of racial discrimination in voting" continued to "</w:t>
      </w:r>
      <w:proofErr w:type="spellStart"/>
      <w:r w:rsidRPr="00F23863">
        <w:rPr>
          <w:rFonts w:ascii="Trebuchet MS" w:eastAsia="Times New Roman" w:hAnsi="Trebuchet MS" w:cs="Arial"/>
          <w:color w:val="333333"/>
          <w:sz w:val="20"/>
          <w:szCs w:val="20"/>
        </w:rPr>
        <w:t>infec</w:t>
      </w:r>
      <w:proofErr w:type="spellEnd"/>
      <w:r w:rsidRPr="00F23863">
        <w:rPr>
          <w:rFonts w:ascii="Trebuchet MS" w:eastAsia="Times New Roman" w:hAnsi="Trebuchet MS" w:cs="Arial"/>
          <w:color w:val="333333"/>
          <w:sz w:val="20"/>
          <w:szCs w:val="20"/>
        </w:rPr>
        <w:t>[t] the electoral process in parts of our country." Early attempts to cope with this vile infection resembled battling the Hydra. Whenever one form of voting discrimination was identified and prohibited, others sprang up in its place. This Court repeatedly encountered the remarkable "variety and persistence" of laws disenfranchising minority citizens.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Congress learned from experience that laws targeting particular electoral practices or enabling case-by-case litigation were inadequate to the task.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Patently, a new approach was needed.</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Answering that need, the Voting Rights Act became one of the most consequential, efficacious, and amply justified exercises of federal legislative power in our Nation's history. Requiring federal preclearance of changes in voting laws in the covered jurisdictions—those States and localities where opposition to the Constitution's commands were most virulent—the VRA provided a fit solution for minority voters as well as for States.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Although the VRA wrought dramatic changes in the realization of minority voting rights, the Act, to date, surely has not eliminated all vestiges of discrimination against the exercise of the franchise by minority citizens. Jurisdictions covered by the preclearance requirement continued to submit, in large numbers, proposed changes to voting laws that the Attorney General declined to approve, auguring that barriers to minority voting would quickly resurface were the preclearance remedy eliminated. </w:t>
      </w:r>
      <w:r w:rsidRPr="00F23863">
        <w:rPr>
          <w:rFonts w:ascii="Trebuchet MS" w:eastAsia="Times New Roman" w:hAnsi="Trebuchet MS" w:cs="Arial"/>
          <w:i/>
          <w:iCs/>
          <w:color w:val="333333"/>
          <w:sz w:val="20"/>
          <w:szCs w:val="20"/>
        </w:rPr>
        <w:t>City of Rome v. United States</w:t>
      </w:r>
      <w:r w:rsidRPr="00F23863">
        <w:rPr>
          <w:rFonts w:ascii="Trebuchet MS" w:eastAsia="Times New Roman" w:hAnsi="Trebuchet MS" w:cs="Arial"/>
          <w:color w:val="333333"/>
          <w:sz w:val="20"/>
          <w:szCs w:val="20"/>
        </w:rPr>
        <w:t xml:space="preserve"> (1980). . . . Efforts to reduce the impact of minority votes, in contrast to direct attempts to block access to the ballot, are aptly described as "second-generation barriers" to minority voting.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In response to evidence of these substituted barriers, Congress reauthorized the VRA for five years in 1970, for seven years in 1975, and for 25 years in 1982. Each time, this Court upheld the reauthorization as a valid exercise of congressional power. As the 1982 reauthorization approached its 2007 expiration date, Congress again considered whether the VRA's preclearance mechanism remained an appropriate response to the problem of voting discrimination in covered jurisdictions.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After considering the full legislative record, Congress made the following findings: The VRA has directly caused significant progress in eliminating first-generation barriers to ballot access, leading to a marked increase in minority voter registration and turnout and the number of minority elected officials. But despite this progress, "second generation barriers constructed to prevent minority voters from fully participating in the electoral process" continued to exist, as well as racially polarized voting in the covered jurisdictions, which increased the political vulnerability of racial and language minorities in those jurisdictions. Extensive "[e]</w:t>
      </w:r>
      <w:proofErr w:type="spellStart"/>
      <w:r w:rsidRPr="00F23863">
        <w:rPr>
          <w:rFonts w:ascii="Trebuchet MS" w:eastAsia="Times New Roman" w:hAnsi="Trebuchet MS" w:cs="Arial"/>
          <w:color w:val="333333"/>
          <w:sz w:val="20"/>
          <w:szCs w:val="20"/>
        </w:rPr>
        <w:t>vidence</w:t>
      </w:r>
      <w:proofErr w:type="spellEnd"/>
      <w:r w:rsidRPr="00F23863">
        <w:rPr>
          <w:rFonts w:ascii="Trebuchet MS" w:eastAsia="Times New Roman" w:hAnsi="Trebuchet MS" w:cs="Arial"/>
          <w:color w:val="333333"/>
          <w:sz w:val="20"/>
          <w:szCs w:val="20"/>
        </w:rPr>
        <w:t xml:space="preserve"> of continued discrimination," Congress concluded, "clearly show[</w:t>
      </w:r>
      <w:proofErr w:type="spellStart"/>
      <w:r w:rsidRPr="00F23863">
        <w:rPr>
          <w:rFonts w:ascii="Trebuchet MS" w:eastAsia="Times New Roman" w:hAnsi="Trebuchet MS" w:cs="Arial"/>
          <w:color w:val="333333"/>
          <w:sz w:val="20"/>
          <w:szCs w:val="20"/>
        </w:rPr>
        <w:t>ed</w:t>
      </w:r>
      <w:proofErr w:type="spellEnd"/>
      <w:r w:rsidRPr="00F23863">
        <w:rPr>
          <w:rFonts w:ascii="Trebuchet MS" w:eastAsia="Times New Roman" w:hAnsi="Trebuchet MS" w:cs="Arial"/>
          <w:color w:val="333333"/>
          <w:sz w:val="20"/>
          <w:szCs w:val="20"/>
        </w:rPr>
        <w:t xml:space="preserve">] the continued need for Federal oversight" in covered jurisdictions. The overall record demonstrated to the federal lawmakers that, "without the continuation of the Voting Rights Act of 1965 </w:t>
      </w:r>
      <w:r w:rsidRPr="00F23863">
        <w:rPr>
          <w:rFonts w:ascii="Trebuchet MS" w:eastAsia="Times New Roman" w:hAnsi="Trebuchet MS" w:cs="Arial"/>
          <w:color w:val="333333"/>
          <w:sz w:val="20"/>
          <w:szCs w:val="20"/>
        </w:rPr>
        <w:lastRenderedPageBreak/>
        <w:t>protections, racial and language minority citizens will be deprived of the opportunity to exercise their right to vote, or will have their votes diluted, undermining the significant gains made by minorities in the last 40 years."</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Based on these findings, Congress reauthorized preclearance for another 25 years, while also undertaking to reconsider the extension after 15 years to ensure that the provision was still necessary and effective.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xml:space="preserve">True, conditions in the South have impressively improved since passage of the Voting Rights Act. Congress noted this improvement and found that the VRA was the driving force behind it. But Congress also found that voting discrimination had evolved into subtler second-generation barriers, and that eliminating preclearance would risk loss of the gains that had been made. Concerns of this order, the Court previously found, gave Congress adequate cause to reauthorize the VRA. </w:t>
      </w:r>
      <w:r w:rsidRPr="00F23863">
        <w:rPr>
          <w:rFonts w:ascii="Trebuchet MS" w:eastAsia="Times New Roman" w:hAnsi="Trebuchet MS" w:cs="Arial"/>
          <w:i/>
          <w:iCs/>
          <w:color w:val="333333"/>
          <w:sz w:val="20"/>
          <w:szCs w:val="20"/>
        </w:rPr>
        <w:t>City of Rome</w:t>
      </w:r>
      <w:r w:rsidRPr="00F23863">
        <w:rPr>
          <w:rFonts w:ascii="Trebuchet MS" w:eastAsia="Times New Roman" w:hAnsi="Trebuchet MS" w:cs="Arial"/>
          <w:color w:val="333333"/>
          <w:sz w:val="20"/>
          <w:szCs w:val="20"/>
        </w:rPr>
        <w:t>. . . .</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The sad irony of today's decision lies in its utter failure to grasp why the VRA has proven effective. The Court appears to believe that the VRA's success in eliminating the specific devices extant in 1965 means that preclearance is no longer needed. With that belief, and the argument derived from it, history repeats itself. The same assumption—that the problem could be solved when particular methods of voting discrimination are identified and eliminated—was indulged and proved wrong repeatedly prior to the VRA's enactment. Unlike prior statutes, which singled out particular tests or devices, the VRA is grounded in Congress' recognition of the "variety and persistence" of measures designed to impair minority voting rights. In truth, the evolution of voting discrimination into more subtle second-generation barriers is powerful evidence that a remedy as effective as preclearance remains vital to protect minority voting rights and prevent backsliding.</w:t>
      </w:r>
    </w:p>
    <w:p w:rsidR="00F23863" w:rsidRPr="00F23863" w:rsidRDefault="00F23863" w:rsidP="00F23863">
      <w:pPr>
        <w:shd w:val="clear" w:color="auto" w:fill="FFFFFF"/>
        <w:spacing w:after="210" w:line="255" w:lineRule="atLeast"/>
        <w:textAlignment w:val="top"/>
        <w:rPr>
          <w:rFonts w:ascii="Trebuchet MS" w:eastAsia="Times New Roman" w:hAnsi="Trebuchet MS" w:cs="Arial"/>
          <w:color w:val="333333"/>
          <w:sz w:val="20"/>
          <w:szCs w:val="20"/>
        </w:rPr>
      </w:pPr>
      <w:r w:rsidRPr="00F23863">
        <w:rPr>
          <w:rFonts w:ascii="Trebuchet MS" w:eastAsia="Times New Roman" w:hAnsi="Trebuchet MS" w:cs="Arial"/>
          <w:color w:val="333333"/>
          <w:sz w:val="20"/>
          <w:szCs w:val="20"/>
        </w:rPr>
        <w:t>. . . After exhaustive evidence-gathering and deliberative process, Congress reauthorized the VRA, including the coverage provision, with overwhelming bipartisan support. It was the judgment of Congress that "40 years has not been a sufficient amount of time to eliminate the vestiges of discrimination following nearly 100 years of disregard for the dictates of the 15th Amendment and to ensure that the right of all citizens to vote is protected as guaranteed by the Constitution." That determination of the body empowered to enforce the Civil War Amendments "by appropriate legislation" merits this Court's utmost respect. In my judgment, the Court errs egregiously by overriding Congress' decision.</w:t>
      </w:r>
    </w:p>
    <w:p w:rsidR="00F23863" w:rsidRDefault="00F23863">
      <w:bookmarkStart w:id="0" w:name="_GoBack"/>
      <w:bookmarkEnd w:id="0"/>
    </w:p>
    <w:sectPr w:rsidR="00F23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63"/>
    <w:rsid w:val="00137BF0"/>
    <w:rsid w:val="003F4A43"/>
    <w:rsid w:val="005B5A1A"/>
    <w:rsid w:val="009B7961"/>
    <w:rsid w:val="00A10526"/>
    <w:rsid w:val="00F2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paragraph" w:styleId="Heading2">
    <w:name w:val="heading 2"/>
    <w:basedOn w:val="Normal"/>
    <w:link w:val="Heading2Char"/>
    <w:uiPriority w:val="9"/>
    <w:qFormat/>
    <w:rsid w:val="00F23863"/>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F23863"/>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863"/>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F23863"/>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F23863"/>
    <w:rPr>
      <w:strike w:val="0"/>
      <w:dstrike w:val="0"/>
      <w:color w:val="000099"/>
      <w:u w:val="none"/>
      <w:effect w:val="none"/>
    </w:rPr>
  </w:style>
  <w:style w:type="character" w:customStyle="1" w:styleId="bar">
    <w:name w:val="bar"/>
    <w:basedOn w:val="DefaultParagraphFont"/>
    <w:rsid w:val="00F23863"/>
    <w:rPr>
      <w:shd w:val="clear" w:color="auto" w:fill="EC4413"/>
    </w:rPr>
  </w:style>
  <w:style w:type="character" w:customStyle="1" w:styleId="bar1">
    <w:name w:val="bar1"/>
    <w:basedOn w:val="DefaultParagraphFont"/>
    <w:rsid w:val="00F23863"/>
    <w:rPr>
      <w:shd w:val="clear" w:color="auto" w:fill="435272"/>
    </w:rPr>
  </w:style>
  <w:style w:type="character" w:customStyle="1" w:styleId="highight">
    <w:name w:val="highight"/>
    <w:basedOn w:val="DefaultParagraphFont"/>
    <w:rsid w:val="00F23863"/>
  </w:style>
  <w:style w:type="paragraph" w:styleId="BalloonText">
    <w:name w:val="Balloon Text"/>
    <w:basedOn w:val="Normal"/>
    <w:link w:val="BalloonTextChar"/>
    <w:uiPriority w:val="99"/>
    <w:semiHidden/>
    <w:unhideWhenUsed/>
    <w:rsid w:val="00F23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paragraph" w:styleId="Heading2">
    <w:name w:val="heading 2"/>
    <w:basedOn w:val="Normal"/>
    <w:link w:val="Heading2Char"/>
    <w:uiPriority w:val="9"/>
    <w:qFormat/>
    <w:rsid w:val="00F23863"/>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F23863"/>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863"/>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F23863"/>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F23863"/>
    <w:rPr>
      <w:strike w:val="0"/>
      <w:dstrike w:val="0"/>
      <w:color w:val="000099"/>
      <w:u w:val="none"/>
      <w:effect w:val="none"/>
    </w:rPr>
  </w:style>
  <w:style w:type="character" w:customStyle="1" w:styleId="bar">
    <w:name w:val="bar"/>
    <w:basedOn w:val="DefaultParagraphFont"/>
    <w:rsid w:val="00F23863"/>
    <w:rPr>
      <w:shd w:val="clear" w:color="auto" w:fill="EC4413"/>
    </w:rPr>
  </w:style>
  <w:style w:type="character" w:customStyle="1" w:styleId="bar1">
    <w:name w:val="bar1"/>
    <w:basedOn w:val="DefaultParagraphFont"/>
    <w:rsid w:val="00F23863"/>
    <w:rPr>
      <w:shd w:val="clear" w:color="auto" w:fill="435272"/>
    </w:rPr>
  </w:style>
  <w:style w:type="character" w:customStyle="1" w:styleId="highight">
    <w:name w:val="highight"/>
    <w:basedOn w:val="DefaultParagraphFont"/>
    <w:rsid w:val="00F23863"/>
  </w:style>
  <w:style w:type="paragraph" w:styleId="BalloonText">
    <w:name w:val="Balloon Text"/>
    <w:basedOn w:val="Normal"/>
    <w:link w:val="BalloonTextChar"/>
    <w:uiPriority w:val="99"/>
    <w:semiHidden/>
    <w:unhideWhenUsed/>
    <w:rsid w:val="00F23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81411">
      <w:bodyDiv w:val="1"/>
      <w:marLeft w:val="0"/>
      <w:marRight w:val="0"/>
      <w:marTop w:val="0"/>
      <w:marBottom w:val="0"/>
      <w:divBdr>
        <w:top w:val="none" w:sz="0" w:space="0" w:color="auto"/>
        <w:left w:val="none" w:sz="0" w:space="0" w:color="auto"/>
        <w:bottom w:val="none" w:sz="0" w:space="0" w:color="auto"/>
        <w:right w:val="none" w:sz="0" w:space="0" w:color="auto"/>
      </w:divBdr>
      <w:divsChild>
        <w:div w:id="667711733">
          <w:marLeft w:val="0"/>
          <w:marRight w:val="0"/>
          <w:marTop w:val="150"/>
          <w:marBottom w:val="150"/>
          <w:divBdr>
            <w:top w:val="single" w:sz="12" w:space="3" w:color="333333"/>
            <w:left w:val="single" w:sz="12" w:space="3" w:color="333333"/>
            <w:bottom w:val="single" w:sz="12" w:space="0" w:color="333333"/>
            <w:right w:val="single" w:sz="12" w:space="3" w:color="333333"/>
          </w:divBdr>
          <w:divsChild>
            <w:div w:id="1527720407">
              <w:marLeft w:val="390"/>
              <w:marRight w:val="300"/>
              <w:marTop w:val="300"/>
              <w:marBottom w:val="0"/>
              <w:divBdr>
                <w:top w:val="none" w:sz="0" w:space="0" w:color="auto"/>
                <w:left w:val="none" w:sz="0" w:space="0" w:color="auto"/>
                <w:bottom w:val="none" w:sz="0" w:space="0" w:color="auto"/>
                <w:right w:val="none" w:sz="0" w:space="0" w:color="auto"/>
              </w:divBdr>
              <w:divsChild>
                <w:div w:id="417411501">
                  <w:marLeft w:val="0"/>
                  <w:marRight w:val="0"/>
                  <w:marTop w:val="0"/>
                  <w:marBottom w:val="0"/>
                  <w:divBdr>
                    <w:top w:val="none" w:sz="0" w:space="0" w:color="auto"/>
                    <w:left w:val="none" w:sz="0" w:space="0" w:color="auto"/>
                    <w:bottom w:val="none" w:sz="0" w:space="0" w:color="auto"/>
                    <w:right w:val="none" w:sz="0" w:space="0" w:color="auto"/>
                  </w:divBdr>
                  <w:divsChild>
                    <w:div w:id="1177571795">
                      <w:marLeft w:val="0"/>
                      <w:marRight w:val="0"/>
                      <w:marTop w:val="0"/>
                      <w:marBottom w:val="0"/>
                      <w:divBdr>
                        <w:top w:val="none" w:sz="0" w:space="0" w:color="auto"/>
                        <w:left w:val="none" w:sz="0" w:space="0" w:color="auto"/>
                        <w:bottom w:val="none" w:sz="0" w:space="0" w:color="auto"/>
                        <w:right w:val="none" w:sz="0" w:space="0" w:color="auto"/>
                      </w:divBdr>
                      <w:divsChild>
                        <w:div w:id="1129982193">
                          <w:marLeft w:val="0"/>
                          <w:marRight w:val="0"/>
                          <w:marTop w:val="0"/>
                          <w:marBottom w:val="0"/>
                          <w:divBdr>
                            <w:top w:val="none" w:sz="0" w:space="0" w:color="auto"/>
                            <w:left w:val="none" w:sz="0" w:space="0" w:color="auto"/>
                            <w:bottom w:val="none" w:sz="0" w:space="0" w:color="auto"/>
                            <w:right w:val="none" w:sz="0" w:space="0" w:color="auto"/>
                          </w:divBdr>
                          <w:divsChild>
                            <w:div w:id="341051151">
                              <w:marLeft w:val="0"/>
                              <w:marRight w:val="0"/>
                              <w:marTop w:val="0"/>
                              <w:marBottom w:val="0"/>
                              <w:divBdr>
                                <w:top w:val="none" w:sz="0" w:space="0" w:color="auto"/>
                                <w:left w:val="none" w:sz="0" w:space="0" w:color="auto"/>
                                <w:bottom w:val="none" w:sz="0" w:space="0" w:color="auto"/>
                                <w:right w:val="none" w:sz="0" w:space="0" w:color="auto"/>
                              </w:divBdr>
                              <w:divsChild>
                                <w:div w:id="129127957">
                                  <w:marLeft w:val="0"/>
                                  <w:marRight w:val="0"/>
                                  <w:marTop w:val="0"/>
                                  <w:marBottom w:val="0"/>
                                  <w:divBdr>
                                    <w:top w:val="none" w:sz="0" w:space="0" w:color="auto"/>
                                    <w:left w:val="none" w:sz="0" w:space="0" w:color="auto"/>
                                    <w:bottom w:val="none" w:sz="0" w:space="0" w:color="auto"/>
                                    <w:right w:val="none" w:sz="0" w:space="0" w:color="auto"/>
                                  </w:divBdr>
                                  <w:divsChild>
                                    <w:div w:id="258417456">
                                      <w:marLeft w:val="0"/>
                                      <w:marRight w:val="0"/>
                                      <w:marTop w:val="0"/>
                                      <w:marBottom w:val="0"/>
                                      <w:divBdr>
                                        <w:top w:val="none" w:sz="0" w:space="0" w:color="auto"/>
                                        <w:left w:val="none" w:sz="0" w:space="0" w:color="auto"/>
                                        <w:bottom w:val="none" w:sz="0" w:space="0" w:color="auto"/>
                                        <w:right w:val="none" w:sz="0" w:space="0" w:color="auto"/>
                                      </w:divBdr>
                                      <w:divsChild>
                                        <w:div w:id="1355959825">
                                          <w:marLeft w:val="0"/>
                                          <w:marRight w:val="0"/>
                                          <w:marTop w:val="0"/>
                                          <w:marBottom w:val="0"/>
                                          <w:divBdr>
                                            <w:top w:val="none" w:sz="0" w:space="0" w:color="auto"/>
                                            <w:left w:val="none" w:sz="0" w:space="0" w:color="auto"/>
                                            <w:bottom w:val="none" w:sz="0" w:space="0" w:color="auto"/>
                                            <w:right w:val="none" w:sz="0" w:space="0" w:color="auto"/>
                                          </w:divBdr>
                                          <w:divsChild>
                                            <w:div w:id="646979204">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yez.org/" TargetMode="External"/><Relationship Id="rId5" Type="http://schemas.openxmlformats.org/officeDocument/2006/relationships/hyperlink" Target="http://laws.findlaw.com/us/000/12-9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3682</Words>
  <Characters>20994</Characters>
  <Application>Microsoft Office Word</Application>
  <DocSecurity>0</DocSecurity>
  <Lines>174</Lines>
  <Paragraphs>49</Paragraphs>
  <ScaleCrop>false</ScaleCrop>
  <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1</cp:revision>
  <dcterms:created xsi:type="dcterms:W3CDTF">2015-10-12T15:53:00Z</dcterms:created>
  <dcterms:modified xsi:type="dcterms:W3CDTF">2015-10-12T15:57:00Z</dcterms:modified>
</cp:coreProperties>
</file>