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28A" w:rsidRDefault="0059628A" w:rsidP="0059628A">
      <w:pPr>
        <w:pStyle w:val="PlainText"/>
      </w:pPr>
      <w:r>
        <w:rPr>
          <w:rFonts w:ascii="Times New Roman" w:hAnsi="Times New Roman" w:cs="Times New Roman"/>
          <w:b/>
          <w:i/>
          <w:sz w:val="22"/>
          <w:szCs w:val="22"/>
          <w:lang w:val="de-DE"/>
        </w:rPr>
        <w:t>Saenz v. Roe</w:t>
      </w:r>
    </w:p>
    <w:p w:rsidR="0059628A" w:rsidRDefault="0059628A" w:rsidP="0059628A">
      <w:pPr>
        <w:pStyle w:val="PlainText"/>
      </w:pPr>
      <w:r>
        <w:rPr>
          <w:rFonts w:ascii="Times New Roman" w:hAnsi="Times New Roman" w:cs="Times New Roman"/>
          <w:sz w:val="22"/>
          <w:szCs w:val="22"/>
          <w:lang w:val="de-DE"/>
        </w:rPr>
        <w:t>526 U. S. 489 (1999)</w:t>
      </w:r>
    </w:p>
    <w:p w:rsidR="006E001D" w:rsidRDefault="006E001D"/>
    <w:p w:rsidR="0059628A" w:rsidRDefault="0059628A"/>
    <w:p w:rsidR="0059628A" w:rsidRPr="0059628A" w:rsidRDefault="0059628A">
      <w:pPr>
        <w:rPr>
          <w:i/>
        </w:rPr>
      </w:pPr>
      <w:r w:rsidRPr="0059628A">
        <w:t>Editors Introduction</w:t>
      </w:r>
      <w:r w:rsidRPr="0059628A">
        <w:rPr>
          <w:i/>
        </w:rPr>
        <w:t xml:space="preserve"> </w:t>
      </w:r>
      <w:r w:rsidRPr="0059628A">
        <w:t>(Epstein and Walker</w:t>
      </w:r>
      <w:r w:rsidRPr="0059628A">
        <w:rPr>
          <w:i/>
        </w:rPr>
        <w:t>, Constitutional Law for a Changing America</w:t>
      </w:r>
      <w:r w:rsidRPr="0059628A">
        <w:t>):</w:t>
      </w:r>
    </w:p>
    <w:p w:rsidR="0059628A" w:rsidRPr="0059628A" w:rsidRDefault="0059628A" w:rsidP="0059628A">
      <w:pPr>
        <w:tabs>
          <w:tab w:val="left" w:pos="720"/>
        </w:tabs>
        <w:ind w:firstLine="720"/>
        <w:rPr>
          <w:rFonts w:eastAsia="Times New Roman" w:cs="Times New Roman"/>
          <w:i/>
          <w:szCs w:val="24"/>
        </w:rPr>
      </w:pPr>
      <w:r w:rsidRPr="0059628A">
        <w:rPr>
          <w:rFonts w:eastAsia="Times New Roman" w:cs="Times New Roman"/>
          <w:i/>
          <w:sz w:val="22"/>
        </w:rPr>
        <w:t xml:space="preserve">In 1992 the California legislature enacted </w:t>
      </w:r>
      <w:r w:rsidRPr="0059628A">
        <w:rPr>
          <w:rFonts w:eastAsia="Times New Roman" w:cs="Times New Roman"/>
          <w:i/>
          <w:color w:val="000000"/>
          <w:sz w:val="22"/>
        </w:rPr>
        <w:t>§</w:t>
      </w:r>
      <w:r w:rsidRPr="0059628A">
        <w:rPr>
          <w:rFonts w:eastAsia="Times New Roman" w:cs="Times New Roman"/>
          <w:i/>
          <w:sz w:val="22"/>
        </w:rPr>
        <w:t>11450.03 of the state Welfare and Institutions Code. That section, which sought to reduce the state's budget, limited new residents, for the first year they live in California, to the welfare benefits they would have received in the state of their prior residence. In other words, the state established a two-tier welfare system: residents of a year or longer received California's standard (and relatively generous) benefits, but newcomers got a different amount, depending on where they had lived before.</w:t>
      </w:r>
    </w:p>
    <w:p w:rsidR="0059628A" w:rsidRPr="0059628A" w:rsidRDefault="0059628A" w:rsidP="0059628A">
      <w:pPr>
        <w:tabs>
          <w:tab w:val="left" w:pos="720"/>
        </w:tabs>
        <w:ind w:firstLine="720"/>
        <w:rPr>
          <w:rFonts w:eastAsia="Times New Roman" w:cs="Times New Roman"/>
          <w:i/>
          <w:szCs w:val="24"/>
        </w:rPr>
      </w:pPr>
      <w:r w:rsidRPr="0059628A">
        <w:rPr>
          <w:rFonts w:eastAsia="Times New Roman" w:cs="Times New Roman"/>
          <w:i/>
          <w:sz w:val="22"/>
        </w:rPr>
        <w:t>Two new California residents challenged the statute. “Brenda Roe” had moved with her husband to Long Beach, California, from Oklahoma. As new residents, the Roes were entitled to $307 per month rather than the $565 similarly situated in-state residents would receive. “Anna Doe” had moved to Los Angeles from Washington, D.C., when she was six months pregnant. As a new resident, Doe was eligible for $330 in monthly welfare benefits, instead of $456.</w:t>
      </w:r>
    </w:p>
    <w:p w:rsidR="0059628A" w:rsidRPr="0059628A" w:rsidRDefault="0059628A" w:rsidP="0059628A">
      <w:pPr>
        <w:tabs>
          <w:tab w:val="left" w:pos="720"/>
        </w:tabs>
        <w:ind w:firstLine="720"/>
        <w:rPr>
          <w:rFonts w:eastAsia="Times New Roman" w:cs="Times New Roman"/>
          <w:i/>
          <w:szCs w:val="24"/>
        </w:rPr>
      </w:pPr>
      <w:r w:rsidRPr="0059628A">
        <w:rPr>
          <w:rFonts w:eastAsia="Times New Roman" w:cs="Times New Roman"/>
          <w:i/>
          <w:sz w:val="22"/>
        </w:rPr>
        <w:t xml:space="preserve">California did not dispute the argument that </w:t>
      </w:r>
      <w:r w:rsidRPr="0059628A">
        <w:rPr>
          <w:rFonts w:eastAsia="Times New Roman" w:cs="Times New Roman"/>
          <w:i/>
          <w:color w:val="000000"/>
          <w:sz w:val="22"/>
        </w:rPr>
        <w:t>§</w:t>
      </w:r>
      <w:r w:rsidRPr="0059628A">
        <w:rPr>
          <w:rFonts w:eastAsia="Times New Roman" w:cs="Times New Roman"/>
          <w:i/>
          <w:sz w:val="22"/>
        </w:rPr>
        <w:t>11450.03 would create significant disparities between newcomers needing welfare support and welfare recipients who had resided in the state longer than a year. Rather, the state relied on the undisputed fact that the statute would save some $10.9 million in annual welfare costs. It argued that this cost saving was an appropriate exercise of budgetary authority as long as the residency requirement did not penalize the right to travel. The state reasoned that the payment of the same benefits that would have been received in the state of prior residency eliminated any unreasonable restraint on the right to interstate travel.</w:t>
      </w:r>
    </w:p>
    <w:p w:rsidR="0059628A" w:rsidRPr="0059628A" w:rsidRDefault="0059628A" w:rsidP="0059628A">
      <w:pPr>
        <w:tabs>
          <w:tab w:val="left" w:pos="720"/>
        </w:tabs>
        <w:ind w:firstLine="720"/>
        <w:rPr>
          <w:rFonts w:eastAsia="Times New Roman" w:cs="Times New Roman"/>
          <w:szCs w:val="24"/>
        </w:rPr>
      </w:pPr>
      <w:r w:rsidRPr="0059628A">
        <w:rPr>
          <w:rFonts w:eastAsia="Times New Roman" w:cs="Times New Roman"/>
          <w:i/>
          <w:sz w:val="22"/>
        </w:rPr>
        <w:t xml:space="preserve">A district court judge disagreed. Relying primarily on the Supreme Court's decision in </w:t>
      </w:r>
      <w:r w:rsidRPr="0059628A">
        <w:rPr>
          <w:rFonts w:eastAsia="Times New Roman" w:cs="Times New Roman"/>
          <w:i/>
          <w:iCs/>
          <w:sz w:val="22"/>
        </w:rPr>
        <w:t>Shapiro v. Thompson</w:t>
      </w:r>
      <w:r w:rsidRPr="0059628A">
        <w:rPr>
          <w:rFonts w:eastAsia="Times New Roman" w:cs="Times New Roman"/>
          <w:i/>
          <w:sz w:val="22"/>
        </w:rPr>
        <w:t xml:space="preserve"> (1969), he concluded that the statute placed "a penalty on the decision of new residents to migrate to the State and be treated on an equal basis with existing residents."</w:t>
      </w:r>
    </w:p>
    <w:p w:rsidR="0059628A" w:rsidRPr="0059628A" w:rsidRDefault="0059628A" w:rsidP="0059628A">
      <w:pPr>
        <w:rPr>
          <w:rFonts w:ascii="Courier New" w:eastAsia="Times New Roman" w:hAnsi="Courier New" w:cs="Courier New"/>
          <w:sz w:val="20"/>
          <w:szCs w:val="20"/>
        </w:rPr>
      </w:pPr>
      <w:r w:rsidRPr="0059628A">
        <w:rPr>
          <w:rFonts w:eastAsia="Times New Roman" w:cs="Times New Roman"/>
          <w:sz w:val="22"/>
        </w:rPr>
        <w:t> </w:t>
      </w:r>
    </w:p>
    <w:p w:rsidR="0059628A" w:rsidRPr="0059628A" w:rsidRDefault="0059628A" w:rsidP="0059628A">
      <w:pPr>
        <w:rPr>
          <w:rFonts w:ascii="Courier New" w:eastAsia="Times New Roman" w:hAnsi="Courier New" w:cs="Courier New"/>
          <w:sz w:val="20"/>
          <w:szCs w:val="20"/>
        </w:rPr>
      </w:pPr>
      <w:r w:rsidRPr="0059628A">
        <w:rPr>
          <w:rFonts w:eastAsia="Times New Roman" w:cs="Times New Roman"/>
          <w:sz w:val="22"/>
        </w:rPr>
        <w:t>JUSTICE STEVENS delivered the opinion of the Court.</w:t>
      </w:r>
    </w:p>
    <w:p w:rsidR="0059628A" w:rsidRPr="0059628A" w:rsidRDefault="0059628A" w:rsidP="0059628A">
      <w:pPr>
        <w:tabs>
          <w:tab w:val="left" w:pos="720"/>
        </w:tabs>
        <w:ind w:firstLine="720"/>
        <w:rPr>
          <w:rFonts w:ascii="Courier New" w:eastAsia="Times New Roman" w:hAnsi="Courier New" w:cs="Courier New"/>
          <w:sz w:val="20"/>
          <w:szCs w:val="20"/>
        </w:rPr>
      </w:pPr>
      <w:r w:rsidRPr="0059628A">
        <w:rPr>
          <w:rFonts w:eastAsia="Times New Roman" w:cs="Times New Roman"/>
          <w:sz w:val="22"/>
        </w:rPr>
        <w:t xml:space="preserve">The word "travel" is not found in the text of the Constitution. Yet the "constitutional right to travel from one State to another" is firmly embedded in our jurisprudence. Indeed, as Justice Stewart reminded us in </w:t>
      </w:r>
      <w:r w:rsidRPr="0059628A">
        <w:rPr>
          <w:rFonts w:eastAsia="Times New Roman" w:cs="Times New Roman"/>
          <w:i/>
          <w:sz w:val="22"/>
        </w:rPr>
        <w:t>Shapiro v. Thompson</w:t>
      </w:r>
      <w:r w:rsidRPr="0059628A">
        <w:rPr>
          <w:rFonts w:eastAsia="Times New Roman" w:cs="Times New Roman"/>
          <w:sz w:val="22"/>
        </w:rPr>
        <w:t xml:space="preserve"> (1969), the right is so important that it is "</w:t>
      </w:r>
      <w:proofErr w:type="spellStart"/>
      <w:r w:rsidRPr="0059628A">
        <w:rPr>
          <w:rFonts w:eastAsia="Times New Roman" w:cs="Times New Roman"/>
          <w:sz w:val="22"/>
        </w:rPr>
        <w:t>assertable</w:t>
      </w:r>
      <w:proofErr w:type="spellEnd"/>
      <w:r w:rsidRPr="0059628A">
        <w:rPr>
          <w:rFonts w:eastAsia="Times New Roman" w:cs="Times New Roman"/>
          <w:sz w:val="22"/>
        </w:rPr>
        <w:t xml:space="preserve"> against private interference as well as governmental action . . . a virtually unconditional personal right, guaranteed by the Constitution to us all." </w:t>
      </w:r>
    </w:p>
    <w:p w:rsidR="0059628A" w:rsidRPr="0059628A" w:rsidRDefault="0059628A" w:rsidP="0059628A">
      <w:pPr>
        <w:ind w:firstLine="720"/>
        <w:rPr>
          <w:rFonts w:ascii="Courier New" w:eastAsia="Times New Roman" w:hAnsi="Courier New" w:cs="Courier New"/>
          <w:sz w:val="20"/>
          <w:szCs w:val="20"/>
        </w:rPr>
      </w:pPr>
      <w:r w:rsidRPr="0059628A">
        <w:rPr>
          <w:rFonts w:eastAsia="Times New Roman" w:cs="Times New Roman"/>
          <w:sz w:val="22"/>
        </w:rPr>
        <w:t xml:space="preserve">In </w:t>
      </w:r>
      <w:r w:rsidRPr="0059628A">
        <w:rPr>
          <w:rFonts w:eastAsia="Times New Roman" w:cs="Times New Roman"/>
          <w:i/>
          <w:sz w:val="22"/>
        </w:rPr>
        <w:t>Shapiro</w:t>
      </w:r>
      <w:r w:rsidRPr="0059628A">
        <w:rPr>
          <w:rFonts w:eastAsia="Times New Roman" w:cs="Times New Roman"/>
          <w:sz w:val="22"/>
        </w:rPr>
        <w:t xml:space="preserve">, we reviewed the constitutionality of three statutory provisions that denied welfare assistance to residents of Connecticut, the District of Columbia, and Pennsylvania, who had resided within those respective jurisdictions less than one year immediately preceding their applications for assistance. Without pausing to identify the specific source of the right, we began by noting that the Court had long "recognized that the nature of our Federal Union and our constitutional concepts of personal liberty unite to require that all citizens be free to travel throughout the length and breadth of our land uninhibited by statutes, rules, or regulations which unreasonably burden or restrict this movement." We squarely held that it was "constitutionally impermissible" for a State to enact durational residency requirements for the purpose of inhibiting the migration by needy persons into the State. We further held that a classification that had the effect of imposing a penalty on the exercise of the right to travel violated the Equal Protection Clause "unless shown to be necessary to promote a </w:t>
      </w:r>
      <w:r w:rsidRPr="0059628A">
        <w:rPr>
          <w:rFonts w:eastAsia="Times New Roman" w:cs="Times New Roman"/>
          <w:i/>
          <w:sz w:val="22"/>
        </w:rPr>
        <w:t>compelling</w:t>
      </w:r>
      <w:r w:rsidRPr="0059628A">
        <w:rPr>
          <w:rFonts w:eastAsia="Times New Roman" w:cs="Times New Roman"/>
          <w:sz w:val="22"/>
        </w:rPr>
        <w:t xml:space="preserve"> governmental interest," and that no such showing had been made.</w:t>
      </w:r>
    </w:p>
    <w:p w:rsidR="0059628A" w:rsidRPr="0059628A" w:rsidRDefault="0059628A" w:rsidP="0059628A">
      <w:pPr>
        <w:ind w:firstLine="720"/>
        <w:rPr>
          <w:rFonts w:ascii="Courier New" w:eastAsia="Times New Roman" w:hAnsi="Courier New" w:cs="Courier New"/>
          <w:sz w:val="20"/>
          <w:szCs w:val="20"/>
        </w:rPr>
      </w:pPr>
      <w:r w:rsidRPr="0059628A">
        <w:rPr>
          <w:rFonts w:eastAsia="Times New Roman" w:cs="Times New Roman"/>
          <w:sz w:val="22"/>
        </w:rPr>
        <w:t xml:space="preserve">In this case California argues that </w:t>
      </w:r>
      <w:r w:rsidRPr="0059628A">
        <w:rPr>
          <w:rFonts w:eastAsia="Times New Roman" w:cs="Times New Roman"/>
          <w:color w:val="000000"/>
          <w:sz w:val="22"/>
        </w:rPr>
        <w:t>§</w:t>
      </w:r>
      <w:r w:rsidRPr="0059628A">
        <w:rPr>
          <w:rFonts w:eastAsia="Times New Roman" w:cs="Times New Roman"/>
          <w:sz w:val="22"/>
        </w:rPr>
        <w:t xml:space="preserve">11450.03 was not enacted for the impermissible purpose of inhibiting migration by needy persons and that, unlike the legislation reviewed in </w:t>
      </w:r>
      <w:r w:rsidRPr="0059628A">
        <w:rPr>
          <w:rFonts w:eastAsia="Times New Roman" w:cs="Times New Roman"/>
          <w:i/>
          <w:sz w:val="22"/>
        </w:rPr>
        <w:t>Shapiro</w:t>
      </w:r>
      <w:r w:rsidRPr="0059628A">
        <w:rPr>
          <w:rFonts w:eastAsia="Times New Roman" w:cs="Times New Roman"/>
          <w:sz w:val="22"/>
        </w:rPr>
        <w:t xml:space="preserve">, it does not penalize the right to travel because new arrivals are not ineligible for benefits during their first year of residence. California submits that, instead of being subjected to the strictest scrutiny, the statute should be upheld if it is supported by a rational basis and that the State's legitimate interest in saving over $10 </w:t>
      </w:r>
      <w:r w:rsidRPr="0059628A">
        <w:rPr>
          <w:rFonts w:eastAsia="Times New Roman" w:cs="Times New Roman"/>
          <w:sz w:val="22"/>
        </w:rPr>
        <w:lastRenderedPageBreak/>
        <w:t>million a year satisfies that test. . . . The debate about the appropriate standard of review, together with the potential relevance of the federal statute, persuades us that it will be useful to focus on the source of the constitutional right on which respondents rely.</w:t>
      </w:r>
    </w:p>
    <w:p w:rsidR="0059628A" w:rsidRPr="0059628A" w:rsidRDefault="0059628A" w:rsidP="0059628A">
      <w:pPr>
        <w:ind w:firstLine="720"/>
        <w:rPr>
          <w:rFonts w:ascii="Courier New" w:eastAsia="Times New Roman" w:hAnsi="Courier New" w:cs="Courier New"/>
          <w:sz w:val="20"/>
          <w:szCs w:val="20"/>
        </w:rPr>
      </w:pPr>
      <w:r w:rsidRPr="0059628A">
        <w:rPr>
          <w:rFonts w:eastAsia="Times New Roman" w:cs="Times New Roman"/>
          <w:sz w:val="22"/>
        </w:rPr>
        <w:t xml:space="preserve">The "right to travel" discussed in our cases embraces at least three different components. It protects the right of a citizen of one State to enter and to leave another State, the right to be treated as a welcome visitor rather than an unfriendly alien when temporarily present in the second </w:t>
      </w:r>
      <w:proofErr w:type="gramStart"/>
      <w:r w:rsidRPr="0059628A">
        <w:rPr>
          <w:rFonts w:eastAsia="Times New Roman" w:cs="Times New Roman"/>
          <w:sz w:val="22"/>
        </w:rPr>
        <w:t>State,</w:t>
      </w:r>
      <w:proofErr w:type="gramEnd"/>
      <w:r w:rsidRPr="0059628A">
        <w:rPr>
          <w:rFonts w:eastAsia="Times New Roman" w:cs="Times New Roman"/>
          <w:sz w:val="22"/>
        </w:rPr>
        <w:t xml:space="preserve"> and, for those travelers who elect to become permanent residents, the right to be treated like other citizens of that State.</w:t>
      </w:r>
    </w:p>
    <w:p w:rsidR="0059628A" w:rsidRPr="0059628A" w:rsidRDefault="0059628A" w:rsidP="0059628A">
      <w:pPr>
        <w:ind w:firstLine="720"/>
        <w:rPr>
          <w:rFonts w:ascii="Courier New" w:eastAsia="Times New Roman" w:hAnsi="Courier New" w:cs="Courier New"/>
          <w:sz w:val="20"/>
          <w:szCs w:val="20"/>
        </w:rPr>
      </w:pPr>
      <w:r w:rsidRPr="0059628A">
        <w:rPr>
          <w:rFonts w:eastAsia="Times New Roman" w:cs="Times New Roman"/>
          <w:sz w:val="22"/>
        </w:rPr>
        <w:t xml:space="preserve">It was the right to go from one place to another, including the right to cross state borders while en route, that was vindicated in </w:t>
      </w:r>
      <w:r w:rsidRPr="0059628A">
        <w:rPr>
          <w:rFonts w:eastAsia="Times New Roman" w:cs="Times New Roman"/>
          <w:i/>
          <w:sz w:val="22"/>
        </w:rPr>
        <w:t>Edwards v. California</w:t>
      </w:r>
      <w:r w:rsidRPr="0059628A">
        <w:rPr>
          <w:rFonts w:eastAsia="Times New Roman" w:cs="Times New Roman"/>
          <w:sz w:val="22"/>
        </w:rPr>
        <w:t xml:space="preserve"> (1941), which invalidated a state law that impeded the free interstate passage of the indigent. . . . Given that </w:t>
      </w:r>
      <w:r w:rsidRPr="0059628A">
        <w:rPr>
          <w:rFonts w:eastAsia="Times New Roman" w:cs="Times New Roman"/>
          <w:color w:val="000000"/>
          <w:sz w:val="22"/>
        </w:rPr>
        <w:t>§</w:t>
      </w:r>
      <w:r w:rsidRPr="0059628A">
        <w:rPr>
          <w:rFonts w:eastAsia="Times New Roman" w:cs="Times New Roman"/>
          <w:sz w:val="22"/>
        </w:rPr>
        <w:t xml:space="preserve">11450.03 imposed no obstacle to respondents' entry into California, we think the State is correct when it argues that the statute does not directly impair the exercise of the right to free interstate movement. For the purposes of this case, therefore, we need not identify the source of that particular right in the text of the Constitution. . . . </w:t>
      </w:r>
    </w:p>
    <w:p w:rsidR="0059628A" w:rsidRPr="0059628A" w:rsidRDefault="0059628A" w:rsidP="0059628A">
      <w:pPr>
        <w:ind w:firstLine="720"/>
        <w:rPr>
          <w:rFonts w:ascii="Courier New" w:eastAsia="Times New Roman" w:hAnsi="Courier New" w:cs="Courier New"/>
          <w:sz w:val="20"/>
          <w:szCs w:val="20"/>
        </w:rPr>
      </w:pPr>
      <w:r w:rsidRPr="0059628A">
        <w:rPr>
          <w:rFonts w:eastAsia="Times New Roman" w:cs="Times New Roman"/>
          <w:sz w:val="22"/>
        </w:rPr>
        <w:t xml:space="preserve">The second component of the right to travel is, however, expressly protected by the text of the Constitution. The first sentence of Article IV, </w:t>
      </w:r>
      <w:r w:rsidRPr="0059628A">
        <w:rPr>
          <w:rFonts w:eastAsia="Times New Roman" w:cs="Times New Roman"/>
          <w:color w:val="000000"/>
          <w:sz w:val="22"/>
        </w:rPr>
        <w:t>§</w:t>
      </w:r>
      <w:r w:rsidRPr="0059628A">
        <w:rPr>
          <w:rFonts w:eastAsia="Times New Roman" w:cs="Times New Roman"/>
          <w:sz w:val="22"/>
        </w:rPr>
        <w:t>2, provides:</w:t>
      </w:r>
    </w:p>
    <w:p w:rsidR="0059628A" w:rsidRPr="0059628A" w:rsidRDefault="0059628A" w:rsidP="0059628A">
      <w:pPr>
        <w:ind w:firstLine="720"/>
        <w:rPr>
          <w:rFonts w:ascii="Courier New" w:eastAsia="Times New Roman" w:hAnsi="Courier New" w:cs="Courier New"/>
          <w:sz w:val="20"/>
          <w:szCs w:val="20"/>
        </w:rPr>
      </w:pPr>
      <w:r w:rsidRPr="0059628A">
        <w:rPr>
          <w:rFonts w:eastAsia="Times New Roman" w:cs="Times New Roman"/>
          <w:sz w:val="22"/>
        </w:rPr>
        <w:t> </w:t>
      </w:r>
    </w:p>
    <w:p w:rsidR="0059628A" w:rsidRPr="0059628A" w:rsidRDefault="0059628A" w:rsidP="0059628A">
      <w:pPr>
        <w:ind w:left="720"/>
        <w:rPr>
          <w:rFonts w:ascii="Courier New" w:eastAsia="Times New Roman" w:hAnsi="Courier New" w:cs="Courier New"/>
          <w:sz w:val="20"/>
          <w:szCs w:val="20"/>
        </w:rPr>
      </w:pPr>
      <w:r w:rsidRPr="0059628A">
        <w:rPr>
          <w:rFonts w:eastAsia="Times New Roman" w:cs="Times New Roman"/>
          <w:sz w:val="22"/>
        </w:rPr>
        <w:t>"The Citizens of each State shall be entitled to all Privileges and Immunities of Citizens in the several States."</w:t>
      </w:r>
    </w:p>
    <w:p w:rsidR="0059628A" w:rsidRPr="0059628A" w:rsidRDefault="0059628A" w:rsidP="0059628A">
      <w:pPr>
        <w:ind w:left="720"/>
        <w:rPr>
          <w:rFonts w:ascii="Courier New" w:eastAsia="Times New Roman" w:hAnsi="Courier New" w:cs="Courier New"/>
          <w:sz w:val="20"/>
          <w:szCs w:val="20"/>
        </w:rPr>
      </w:pPr>
      <w:r w:rsidRPr="0059628A">
        <w:rPr>
          <w:rFonts w:eastAsia="Times New Roman" w:cs="Times New Roman"/>
          <w:sz w:val="22"/>
        </w:rPr>
        <w:t> </w:t>
      </w:r>
    </w:p>
    <w:p w:rsidR="0059628A" w:rsidRPr="0059628A" w:rsidRDefault="0059628A" w:rsidP="0059628A">
      <w:pPr>
        <w:tabs>
          <w:tab w:val="left" w:pos="720"/>
        </w:tabs>
        <w:ind w:firstLine="720"/>
        <w:rPr>
          <w:rFonts w:ascii="Courier New" w:eastAsia="Times New Roman" w:hAnsi="Courier New" w:cs="Courier New"/>
          <w:sz w:val="20"/>
          <w:szCs w:val="20"/>
        </w:rPr>
      </w:pPr>
      <w:r w:rsidRPr="0059628A">
        <w:rPr>
          <w:rFonts w:eastAsia="Times New Roman" w:cs="Times New Roman"/>
          <w:sz w:val="22"/>
        </w:rPr>
        <w:t xml:space="preserve">Thus, by virtue of a person's state citizenship, a citizen of one State who travels in other States, intending to return home at the end of his </w:t>
      </w:r>
      <w:proofErr w:type="gramStart"/>
      <w:r w:rsidRPr="0059628A">
        <w:rPr>
          <w:rFonts w:eastAsia="Times New Roman" w:cs="Times New Roman"/>
          <w:sz w:val="22"/>
        </w:rPr>
        <w:t>journey,</w:t>
      </w:r>
      <w:proofErr w:type="gramEnd"/>
      <w:r w:rsidRPr="0059628A">
        <w:rPr>
          <w:rFonts w:eastAsia="Times New Roman" w:cs="Times New Roman"/>
          <w:sz w:val="22"/>
        </w:rPr>
        <w:t xml:space="preserve"> is entitled to enjoy the "Privileges and Immunities of Citizens in the several States" that he visits. This provision removes "from the citizens of each State the disabilities of </w:t>
      </w:r>
      <w:proofErr w:type="spellStart"/>
      <w:r w:rsidRPr="0059628A">
        <w:rPr>
          <w:rFonts w:eastAsia="Times New Roman" w:cs="Times New Roman"/>
          <w:sz w:val="22"/>
        </w:rPr>
        <w:t>alienage</w:t>
      </w:r>
      <w:proofErr w:type="spellEnd"/>
      <w:r w:rsidRPr="0059628A">
        <w:rPr>
          <w:rFonts w:eastAsia="Times New Roman" w:cs="Times New Roman"/>
          <w:sz w:val="22"/>
        </w:rPr>
        <w:t xml:space="preserve"> in the other States." It provides important protections for nonresidents who enter a State whether to obtain employment, to procure medical services, or even to engage in commercial shrimp fishing. Those protections are not "absolute," but the Clause "does bar discrimination against citizens of other States where there is no substantial reason for the discrimination beyond the mere fact that they are citizens of other States." There may be a substantial reason for requiring the nonresident to pay more than the resident for a hunting license or to enroll in the state university, see </w:t>
      </w:r>
      <w:proofErr w:type="spellStart"/>
      <w:r w:rsidRPr="0059628A">
        <w:rPr>
          <w:rFonts w:eastAsia="Times New Roman" w:cs="Times New Roman"/>
          <w:i/>
          <w:sz w:val="22"/>
        </w:rPr>
        <w:t>Vlandis</w:t>
      </w:r>
      <w:proofErr w:type="spellEnd"/>
      <w:r w:rsidRPr="0059628A">
        <w:rPr>
          <w:rFonts w:eastAsia="Times New Roman" w:cs="Times New Roman"/>
          <w:i/>
          <w:sz w:val="22"/>
        </w:rPr>
        <w:t xml:space="preserve"> v. Kline</w:t>
      </w:r>
      <w:r w:rsidRPr="0059628A">
        <w:rPr>
          <w:rFonts w:eastAsia="Times New Roman" w:cs="Times New Roman"/>
          <w:sz w:val="22"/>
        </w:rPr>
        <w:t xml:space="preserve"> (1973), but our cases have not identified any acceptable reason for qualifying the protection afforded by the Clause for "the 'citizen of State A who ventures into State B' to settle there and establish a home." Permissible justifications for discrimination between residents and nonresidents are simply inapplicable to a nonresident's exercise of the right to move into another State and become a resident of that State.</w:t>
      </w:r>
    </w:p>
    <w:p w:rsidR="0059628A" w:rsidRPr="0059628A" w:rsidRDefault="0059628A" w:rsidP="0059628A">
      <w:pPr>
        <w:ind w:firstLine="720"/>
        <w:rPr>
          <w:rFonts w:ascii="Courier New" w:eastAsia="Times New Roman" w:hAnsi="Courier New" w:cs="Courier New"/>
          <w:sz w:val="20"/>
          <w:szCs w:val="20"/>
        </w:rPr>
      </w:pPr>
      <w:r w:rsidRPr="0059628A">
        <w:rPr>
          <w:rFonts w:eastAsia="Times New Roman" w:cs="Times New Roman"/>
          <w:sz w:val="22"/>
        </w:rPr>
        <w:t>What is at issue in this case, then, is this third aspect of the right to travel—the right of the newly arrived citizen to the same privileges and immunities enjoyed by other citizens of the same State. That right is protected not only by the new arrival's status as a state citizen, but also by her status as a citizen of the United States. That additional source of protection is plainly identified in the opening words of the Fourteenth Amendment:</w:t>
      </w:r>
    </w:p>
    <w:p w:rsidR="0059628A" w:rsidRPr="0059628A" w:rsidRDefault="0059628A" w:rsidP="0059628A">
      <w:pPr>
        <w:rPr>
          <w:rFonts w:ascii="Courier New" w:eastAsia="Times New Roman" w:hAnsi="Courier New" w:cs="Courier New"/>
          <w:sz w:val="20"/>
          <w:szCs w:val="20"/>
        </w:rPr>
      </w:pPr>
      <w:r w:rsidRPr="0059628A">
        <w:rPr>
          <w:rFonts w:eastAsia="Times New Roman" w:cs="Times New Roman"/>
          <w:sz w:val="22"/>
        </w:rPr>
        <w:t> </w:t>
      </w:r>
    </w:p>
    <w:p w:rsidR="0059628A" w:rsidRPr="0059628A" w:rsidRDefault="0059628A" w:rsidP="0059628A">
      <w:pPr>
        <w:ind w:left="720"/>
        <w:rPr>
          <w:rFonts w:ascii="Courier New" w:eastAsia="Times New Roman" w:hAnsi="Courier New" w:cs="Courier New"/>
          <w:sz w:val="20"/>
          <w:szCs w:val="20"/>
        </w:rPr>
      </w:pPr>
      <w:r w:rsidRPr="0059628A">
        <w:rPr>
          <w:rFonts w:eastAsia="Times New Roman" w:cs="Times New Roman"/>
          <w:sz w:val="22"/>
        </w:rPr>
        <w:t>"All persons born or naturalized in the United States, and subject to the jurisdiction thereof, are citizens of the United States and of the State wherein they reside. No State shall make or enforce any law which shall abridge the privileges or immunities of citizens of the United States. . . . "</w:t>
      </w:r>
    </w:p>
    <w:p w:rsidR="0059628A" w:rsidRPr="0059628A" w:rsidRDefault="0059628A" w:rsidP="0059628A">
      <w:pPr>
        <w:tabs>
          <w:tab w:val="left" w:pos="720"/>
        </w:tabs>
        <w:rPr>
          <w:rFonts w:ascii="Courier New" w:eastAsia="Times New Roman" w:hAnsi="Courier New" w:cs="Courier New"/>
          <w:sz w:val="20"/>
          <w:szCs w:val="20"/>
        </w:rPr>
      </w:pPr>
      <w:r w:rsidRPr="0059628A">
        <w:rPr>
          <w:rFonts w:eastAsia="Times New Roman" w:cs="Times New Roman"/>
          <w:sz w:val="22"/>
        </w:rPr>
        <w:t> </w:t>
      </w:r>
    </w:p>
    <w:p w:rsidR="0059628A" w:rsidRPr="0059628A" w:rsidRDefault="0059628A" w:rsidP="0059628A">
      <w:pPr>
        <w:tabs>
          <w:tab w:val="left" w:pos="720"/>
        </w:tabs>
        <w:ind w:firstLine="720"/>
        <w:rPr>
          <w:rFonts w:ascii="Courier New" w:eastAsia="Times New Roman" w:hAnsi="Courier New" w:cs="Courier New"/>
          <w:sz w:val="20"/>
          <w:szCs w:val="20"/>
        </w:rPr>
      </w:pPr>
      <w:r w:rsidRPr="0059628A">
        <w:rPr>
          <w:rFonts w:eastAsia="Times New Roman" w:cs="Times New Roman"/>
          <w:sz w:val="22"/>
        </w:rPr>
        <w:t xml:space="preserve">Despite fundamentally differing views concerning the coverage of the Privileges or Immunities Clause of the Fourteenth Amendment, most notably expressed in the majority and dissenting opinions in the </w:t>
      </w:r>
      <w:r w:rsidRPr="0059628A">
        <w:rPr>
          <w:rFonts w:eastAsia="Times New Roman" w:cs="Times New Roman"/>
          <w:i/>
          <w:sz w:val="22"/>
        </w:rPr>
        <w:t>Slaughter-House Cases</w:t>
      </w:r>
      <w:r w:rsidRPr="0059628A">
        <w:rPr>
          <w:rFonts w:eastAsia="Times New Roman" w:cs="Times New Roman"/>
          <w:sz w:val="22"/>
        </w:rPr>
        <w:t xml:space="preserve"> (1873), it has always been common ground that this Clause protects the third component of the right to travel. Writing for the majority in the </w:t>
      </w:r>
      <w:r w:rsidRPr="0059628A">
        <w:rPr>
          <w:rFonts w:eastAsia="Times New Roman" w:cs="Times New Roman"/>
          <w:i/>
          <w:sz w:val="22"/>
        </w:rPr>
        <w:t>Slaughter-House Cases</w:t>
      </w:r>
      <w:r w:rsidRPr="0059628A">
        <w:rPr>
          <w:rFonts w:eastAsia="Times New Roman" w:cs="Times New Roman"/>
          <w:sz w:val="22"/>
        </w:rPr>
        <w:t xml:space="preserve">, Justice Miller explained that one of the privileges conferred by this Clause "is that a citizen of the United States can, of his own volition, become a citizen of any State of the Union by a </w:t>
      </w:r>
      <w:r w:rsidRPr="0059628A">
        <w:rPr>
          <w:rFonts w:eastAsia="Times New Roman" w:cs="Times New Roman"/>
          <w:i/>
          <w:sz w:val="22"/>
        </w:rPr>
        <w:t>bona fide</w:t>
      </w:r>
      <w:r w:rsidRPr="0059628A">
        <w:rPr>
          <w:rFonts w:eastAsia="Times New Roman" w:cs="Times New Roman"/>
          <w:sz w:val="22"/>
        </w:rPr>
        <w:t xml:space="preserve"> residence therein, with the same rights as other citizens of that State." Justice Bradley, in dissent, used even stronger language to make the same point:</w:t>
      </w:r>
    </w:p>
    <w:p w:rsidR="0059628A" w:rsidRPr="0059628A" w:rsidRDefault="0059628A" w:rsidP="0059628A">
      <w:pPr>
        <w:tabs>
          <w:tab w:val="left" w:pos="720"/>
        </w:tabs>
        <w:ind w:firstLine="720"/>
        <w:rPr>
          <w:rFonts w:ascii="Courier New" w:eastAsia="Times New Roman" w:hAnsi="Courier New" w:cs="Courier New"/>
          <w:sz w:val="20"/>
          <w:szCs w:val="20"/>
        </w:rPr>
      </w:pPr>
      <w:r w:rsidRPr="0059628A">
        <w:rPr>
          <w:rFonts w:eastAsia="Times New Roman" w:cs="Times New Roman"/>
          <w:sz w:val="22"/>
        </w:rPr>
        <w:lastRenderedPageBreak/>
        <w:t> </w:t>
      </w:r>
    </w:p>
    <w:p w:rsidR="0059628A" w:rsidRPr="0059628A" w:rsidRDefault="0059628A" w:rsidP="0059628A">
      <w:pPr>
        <w:ind w:left="720"/>
        <w:rPr>
          <w:rFonts w:ascii="Courier New" w:eastAsia="Times New Roman" w:hAnsi="Courier New" w:cs="Courier New"/>
          <w:sz w:val="20"/>
          <w:szCs w:val="20"/>
        </w:rPr>
      </w:pPr>
      <w:r w:rsidRPr="0059628A">
        <w:rPr>
          <w:rFonts w:eastAsia="Times New Roman" w:cs="Times New Roman"/>
          <w:sz w:val="22"/>
        </w:rPr>
        <w:t>"The states have not now, if they ever had, any power to restrict their citizenship to any classes or persons. A citizen of the United States has a perfect constitutional right to go to and reside in any State he chooses, and to claim citizenship therein, and an equality of rights with every other citizen; and the whole power of the nation is pledged to sustain him in that right. He is not bound to cringe to any superior, or to pray for any act of grace, as a means of enjoying all the rights and privileges enjoyed by other citizens."</w:t>
      </w:r>
    </w:p>
    <w:p w:rsidR="0059628A" w:rsidRPr="0059628A" w:rsidRDefault="0059628A" w:rsidP="0059628A">
      <w:pPr>
        <w:ind w:left="720"/>
        <w:rPr>
          <w:rFonts w:ascii="Courier New" w:eastAsia="Times New Roman" w:hAnsi="Courier New" w:cs="Courier New"/>
          <w:sz w:val="20"/>
          <w:szCs w:val="20"/>
        </w:rPr>
      </w:pPr>
      <w:r w:rsidRPr="0059628A">
        <w:rPr>
          <w:rFonts w:eastAsia="Times New Roman" w:cs="Times New Roman"/>
          <w:sz w:val="22"/>
        </w:rPr>
        <w:t> </w:t>
      </w:r>
    </w:p>
    <w:p w:rsidR="0059628A" w:rsidRPr="0059628A" w:rsidRDefault="0059628A" w:rsidP="0059628A">
      <w:pPr>
        <w:ind w:firstLine="720"/>
        <w:rPr>
          <w:rFonts w:ascii="Courier New" w:eastAsia="Times New Roman" w:hAnsi="Courier New" w:cs="Courier New"/>
          <w:sz w:val="20"/>
          <w:szCs w:val="20"/>
        </w:rPr>
      </w:pPr>
      <w:r w:rsidRPr="0059628A">
        <w:rPr>
          <w:rFonts w:eastAsia="Times New Roman" w:cs="Times New Roman"/>
          <w:sz w:val="22"/>
        </w:rPr>
        <w:t xml:space="preserve">That newly arrived citizens "have two political capacities, one state and one federal," adds special force to their claim that they have the same rights as others who share their citizenship. Neither mere rationality nor some intermediate standard of review should be used to judge the constitutionality of a state rule that discriminates against some of its citizens because they have been domiciled in the State for less than a year. The appropriate standard may be more categorical than that articulated in </w:t>
      </w:r>
      <w:r w:rsidRPr="0059628A">
        <w:rPr>
          <w:rFonts w:eastAsia="Times New Roman" w:cs="Times New Roman"/>
          <w:i/>
          <w:sz w:val="22"/>
        </w:rPr>
        <w:t>Shapiro</w:t>
      </w:r>
      <w:r w:rsidRPr="0059628A">
        <w:rPr>
          <w:rFonts w:eastAsia="Times New Roman" w:cs="Times New Roman"/>
          <w:sz w:val="22"/>
        </w:rPr>
        <w:t>, but it is surely no less strict.</w:t>
      </w:r>
    </w:p>
    <w:p w:rsidR="0059628A" w:rsidRPr="0059628A" w:rsidRDefault="0059628A" w:rsidP="0059628A">
      <w:pPr>
        <w:ind w:firstLine="720"/>
        <w:rPr>
          <w:rFonts w:ascii="Courier New" w:eastAsia="Times New Roman" w:hAnsi="Courier New" w:cs="Courier New"/>
          <w:sz w:val="20"/>
          <w:szCs w:val="20"/>
        </w:rPr>
      </w:pPr>
      <w:r w:rsidRPr="0059628A">
        <w:rPr>
          <w:rFonts w:eastAsia="Times New Roman" w:cs="Times New Roman"/>
          <w:sz w:val="22"/>
        </w:rPr>
        <w:t xml:space="preserve">Because this case involves discrimination against citizens who have completed their interstate travel, the State's argument that its welfare scheme affects the right to travel only "incidentally" is beside the point. Were we concerned solely with actual deterrence to </w:t>
      </w:r>
      <w:proofErr w:type="gramStart"/>
      <w:r w:rsidRPr="0059628A">
        <w:rPr>
          <w:rFonts w:eastAsia="Times New Roman" w:cs="Times New Roman"/>
          <w:sz w:val="22"/>
        </w:rPr>
        <w:t>migration,</w:t>
      </w:r>
      <w:proofErr w:type="gramEnd"/>
      <w:r w:rsidRPr="0059628A">
        <w:rPr>
          <w:rFonts w:eastAsia="Times New Roman" w:cs="Times New Roman"/>
          <w:sz w:val="22"/>
        </w:rPr>
        <w:t xml:space="preserve"> we might be persuaded that a partial withholding of benefits constitutes a lesser incursion on the right to travel than an outright denial of all benefits. But since the right to travel embraces the citizen's right to be treated equally in her new State of residence, the discriminatory classification is itself a penalty. . . . </w:t>
      </w:r>
    </w:p>
    <w:p w:rsidR="0059628A" w:rsidRPr="0059628A" w:rsidRDefault="0059628A" w:rsidP="0059628A">
      <w:pPr>
        <w:ind w:firstLine="720"/>
        <w:rPr>
          <w:rFonts w:ascii="Courier New" w:eastAsia="Times New Roman" w:hAnsi="Courier New" w:cs="Courier New"/>
          <w:sz w:val="20"/>
          <w:szCs w:val="20"/>
        </w:rPr>
      </w:pPr>
      <w:r w:rsidRPr="0059628A">
        <w:rPr>
          <w:rFonts w:eastAsia="Times New Roman" w:cs="Times New Roman"/>
          <w:sz w:val="22"/>
        </w:rPr>
        <w:t xml:space="preserve">The classifications challenged in this case—and there are many—are defined entirely by (a) the period of residency in California and (b) the location of the prior residences of the disfavored class members. The favored class of beneficiaries includes all eligible California citizens who have resided there for at least one year, plus those new arrivals who last resided in another country or in a State that provides benefits at least as generous as California's. Thus, within the broad category of citizens who resided in California for less than a year, there are many who are treated like lifetime residents. And within the broad sub-category of new arrivals who are treated less favorably, there are many smaller classes whose benefit levels are determined by the law of the States from whence they came. To justify </w:t>
      </w:r>
      <w:r w:rsidRPr="0059628A">
        <w:rPr>
          <w:rFonts w:eastAsia="Times New Roman" w:cs="Times New Roman"/>
          <w:color w:val="000000"/>
          <w:sz w:val="22"/>
        </w:rPr>
        <w:t>§</w:t>
      </w:r>
      <w:r w:rsidRPr="0059628A">
        <w:rPr>
          <w:rFonts w:eastAsia="Times New Roman" w:cs="Times New Roman"/>
          <w:sz w:val="22"/>
        </w:rPr>
        <w:t>11450.03, California must therefore explain not only why it is sound fiscal policy to discriminate against those who have been citizens for less than a year, but also why it is permissible to apply such a variety of rules within that class.</w:t>
      </w:r>
    </w:p>
    <w:p w:rsidR="0059628A" w:rsidRPr="0059628A" w:rsidRDefault="0059628A" w:rsidP="0059628A">
      <w:pPr>
        <w:ind w:firstLine="720"/>
        <w:rPr>
          <w:rFonts w:ascii="Courier New" w:eastAsia="Times New Roman" w:hAnsi="Courier New" w:cs="Courier New"/>
          <w:sz w:val="20"/>
          <w:szCs w:val="20"/>
        </w:rPr>
      </w:pPr>
      <w:r w:rsidRPr="0059628A">
        <w:rPr>
          <w:rFonts w:eastAsia="Times New Roman" w:cs="Times New Roman"/>
          <w:sz w:val="22"/>
        </w:rPr>
        <w:t xml:space="preserve">These classifications may not be justified by a purpose to deter welfare applicants from migrating to California for three reasons. First, although it is reasonable to assume that some persons may be motivated to move for the purpose of obtaining higher benefits, the empirical evidence reviewed by the District Judge, which takes into account the high cost of living in California, indicates that the number of such persons is quite small—surely not large enough to justify a burden on those who had no such motive. Second, California has represented to the Court that the legislation was not enacted for any such reason. Third, even if it were, as we squarely held in </w:t>
      </w:r>
      <w:r w:rsidRPr="0059628A">
        <w:rPr>
          <w:rFonts w:eastAsia="Times New Roman" w:cs="Times New Roman"/>
          <w:i/>
          <w:sz w:val="22"/>
        </w:rPr>
        <w:t>Shapiro v. Thompson</w:t>
      </w:r>
      <w:r w:rsidRPr="0059628A">
        <w:rPr>
          <w:rFonts w:eastAsia="Times New Roman" w:cs="Times New Roman"/>
          <w:sz w:val="22"/>
        </w:rPr>
        <w:t xml:space="preserve"> (1969), such a purpose would be unequivocally impermissible.</w:t>
      </w:r>
    </w:p>
    <w:p w:rsidR="0059628A" w:rsidRPr="0059628A" w:rsidRDefault="0059628A" w:rsidP="0059628A">
      <w:pPr>
        <w:ind w:firstLine="720"/>
        <w:rPr>
          <w:rFonts w:ascii="Courier New" w:eastAsia="Times New Roman" w:hAnsi="Courier New" w:cs="Courier New"/>
          <w:sz w:val="20"/>
          <w:szCs w:val="20"/>
        </w:rPr>
      </w:pPr>
      <w:r w:rsidRPr="0059628A">
        <w:rPr>
          <w:rFonts w:eastAsia="Times New Roman" w:cs="Times New Roman"/>
          <w:sz w:val="22"/>
        </w:rPr>
        <w:t xml:space="preserve">Disavowing any desire to fence out the indigent, California has instead advanced an entirely fiscal justification for its </w:t>
      </w:r>
      <w:proofErr w:type="spellStart"/>
      <w:r w:rsidRPr="0059628A">
        <w:rPr>
          <w:rFonts w:eastAsia="Times New Roman" w:cs="Times New Roman"/>
          <w:sz w:val="22"/>
        </w:rPr>
        <w:t>multitiered</w:t>
      </w:r>
      <w:proofErr w:type="spellEnd"/>
      <w:r w:rsidRPr="0059628A">
        <w:rPr>
          <w:rFonts w:eastAsia="Times New Roman" w:cs="Times New Roman"/>
          <w:sz w:val="22"/>
        </w:rPr>
        <w:t xml:space="preserve"> scheme. The enforcement of </w:t>
      </w:r>
      <w:r w:rsidRPr="0059628A">
        <w:rPr>
          <w:rFonts w:eastAsia="Times New Roman" w:cs="Times New Roman"/>
          <w:color w:val="000000"/>
          <w:sz w:val="22"/>
        </w:rPr>
        <w:t>§</w:t>
      </w:r>
      <w:r w:rsidRPr="0059628A">
        <w:rPr>
          <w:rFonts w:eastAsia="Times New Roman" w:cs="Times New Roman"/>
          <w:sz w:val="22"/>
        </w:rPr>
        <w:t xml:space="preserve">11450.03 will save the State approximately $10.9 million a year. The question is not whether such saving is a legitimate purpose but whether the State may accomplish that end by the discriminatory means it has chosen. An evenhanded, across-the-board reduction of about 72 cents per month for every beneficiary would produce the same result. But our negative answer to the question does not rest on the weakness of the State's purported fiscal justification. It rests on the fact that the Citizenship Clause of the Fourteenth Amendment expressly equates citizenship with residence: "That Clause does not provide for, and does not allow for, degrees of citizenship based on length of residence." </w:t>
      </w:r>
      <w:proofErr w:type="spellStart"/>
      <w:proofErr w:type="gramStart"/>
      <w:r w:rsidRPr="0059628A">
        <w:rPr>
          <w:rFonts w:eastAsia="Times New Roman" w:cs="Times New Roman"/>
          <w:i/>
          <w:sz w:val="22"/>
        </w:rPr>
        <w:t>Zobel</w:t>
      </w:r>
      <w:proofErr w:type="spellEnd"/>
      <w:r w:rsidRPr="0059628A">
        <w:rPr>
          <w:rFonts w:eastAsia="Times New Roman" w:cs="Times New Roman"/>
          <w:sz w:val="22"/>
        </w:rPr>
        <w:t xml:space="preserve"> [</w:t>
      </w:r>
      <w:r w:rsidRPr="0059628A">
        <w:rPr>
          <w:rFonts w:eastAsia="Times New Roman" w:cs="Times New Roman"/>
          <w:i/>
          <w:sz w:val="22"/>
        </w:rPr>
        <w:t>v. Williams,</w:t>
      </w:r>
      <w:r w:rsidRPr="0059628A">
        <w:rPr>
          <w:rFonts w:eastAsia="Times New Roman" w:cs="Times New Roman"/>
          <w:sz w:val="22"/>
        </w:rPr>
        <w:t xml:space="preserve"> 1982.]</w:t>
      </w:r>
      <w:proofErr w:type="gramEnd"/>
      <w:r w:rsidRPr="0059628A">
        <w:rPr>
          <w:rFonts w:eastAsia="Times New Roman" w:cs="Times New Roman"/>
          <w:sz w:val="22"/>
        </w:rPr>
        <w:t xml:space="preserve"> It is equally clear that the Clause does not tolerate a hierarchy of 45 subclasses of similarly situated citizens based on the location of their prior residence. Thus </w:t>
      </w:r>
      <w:r w:rsidRPr="0059628A">
        <w:rPr>
          <w:rFonts w:eastAsia="Times New Roman" w:cs="Times New Roman"/>
          <w:color w:val="000000"/>
          <w:sz w:val="22"/>
        </w:rPr>
        <w:t>§</w:t>
      </w:r>
      <w:r w:rsidRPr="0059628A">
        <w:rPr>
          <w:rFonts w:eastAsia="Times New Roman" w:cs="Times New Roman"/>
          <w:sz w:val="22"/>
        </w:rPr>
        <w:t xml:space="preserve">11450.03 </w:t>
      </w:r>
      <w:proofErr w:type="gramStart"/>
      <w:r w:rsidRPr="0059628A">
        <w:rPr>
          <w:rFonts w:eastAsia="Times New Roman" w:cs="Times New Roman"/>
          <w:sz w:val="22"/>
        </w:rPr>
        <w:t>is</w:t>
      </w:r>
      <w:proofErr w:type="gramEnd"/>
      <w:r w:rsidRPr="0059628A">
        <w:rPr>
          <w:rFonts w:eastAsia="Times New Roman" w:cs="Times New Roman"/>
          <w:sz w:val="22"/>
        </w:rPr>
        <w:t xml:space="preserve"> doubly vulnerable: Neither the duration of respondents' California residence, nor the identity of their prior States of residence, has any relevance to their need for benefits. </w:t>
      </w:r>
      <w:r w:rsidRPr="0059628A">
        <w:rPr>
          <w:rFonts w:eastAsia="Times New Roman" w:cs="Times New Roman"/>
          <w:sz w:val="22"/>
        </w:rPr>
        <w:lastRenderedPageBreak/>
        <w:t xml:space="preserve">Nor do those factors bear any relationship to the State's interest in making an equitable allocation of the funds to be distributed among its needy citizens. As in </w:t>
      </w:r>
      <w:r w:rsidRPr="0059628A">
        <w:rPr>
          <w:rFonts w:eastAsia="Times New Roman" w:cs="Times New Roman"/>
          <w:i/>
          <w:sz w:val="22"/>
        </w:rPr>
        <w:t>Shapiro</w:t>
      </w:r>
      <w:r w:rsidRPr="0059628A">
        <w:rPr>
          <w:rFonts w:eastAsia="Times New Roman" w:cs="Times New Roman"/>
          <w:sz w:val="22"/>
        </w:rPr>
        <w:t>, we reject any contributory rationale for the denial of benefits to new residents:</w:t>
      </w:r>
    </w:p>
    <w:p w:rsidR="0059628A" w:rsidRPr="0059628A" w:rsidRDefault="0059628A" w:rsidP="0059628A">
      <w:pPr>
        <w:rPr>
          <w:rFonts w:ascii="Courier New" w:eastAsia="Times New Roman" w:hAnsi="Courier New" w:cs="Courier New"/>
          <w:sz w:val="20"/>
          <w:szCs w:val="20"/>
        </w:rPr>
      </w:pPr>
      <w:r w:rsidRPr="0059628A">
        <w:rPr>
          <w:rFonts w:eastAsia="Times New Roman" w:cs="Times New Roman"/>
          <w:sz w:val="22"/>
        </w:rPr>
        <w:t> </w:t>
      </w:r>
    </w:p>
    <w:p w:rsidR="0059628A" w:rsidRPr="0059628A" w:rsidRDefault="0059628A" w:rsidP="0059628A">
      <w:pPr>
        <w:ind w:left="720"/>
        <w:rPr>
          <w:rFonts w:ascii="Courier New" w:eastAsia="Times New Roman" w:hAnsi="Courier New" w:cs="Courier New"/>
          <w:sz w:val="20"/>
          <w:szCs w:val="20"/>
        </w:rPr>
      </w:pPr>
      <w:r w:rsidRPr="0059628A">
        <w:rPr>
          <w:rFonts w:eastAsia="Times New Roman" w:cs="Times New Roman"/>
          <w:sz w:val="22"/>
        </w:rPr>
        <w:t>"But we need not rest on the particular facts of these cases. Appellants' reasoning would logically permit the State to bar new residents from schools, parks, and libraries or deprive them of police and fire protection. Indeed it would permit the State to apportion all benefits and services according to the past tax contributions of its citizens."</w:t>
      </w:r>
    </w:p>
    <w:p w:rsidR="0059628A" w:rsidRPr="0059628A" w:rsidRDefault="0059628A" w:rsidP="0059628A">
      <w:pPr>
        <w:ind w:firstLine="720"/>
        <w:rPr>
          <w:rFonts w:ascii="Courier New" w:eastAsia="Times New Roman" w:hAnsi="Courier New" w:cs="Courier New"/>
          <w:sz w:val="20"/>
          <w:szCs w:val="20"/>
        </w:rPr>
      </w:pPr>
      <w:r w:rsidRPr="0059628A">
        <w:rPr>
          <w:rFonts w:eastAsia="Times New Roman" w:cs="Times New Roman"/>
          <w:sz w:val="22"/>
        </w:rPr>
        <w:t> </w:t>
      </w:r>
    </w:p>
    <w:p w:rsidR="0059628A" w:rsidRPr="0059628A" w:rsidRDefault="0059628A" w:rsidP="0059628A">
      <w:pPr>
        <w:ind w:firstLine="720"/>
        <w:rPr>
          <w:rFonts w:ascii="Courier New" w:eastAsia="Times New Roman" w:hAnsi="Courier New" w:cs="Courier New"/>
          <w:sz w:val="20"/>
          <w:szCs w:val="20"/>
        </w:rPr>
      </w:pPr>
      <w:r w:rsidRPr="0059628A">
        <w:rPr>
          <w:rFonts w:eastAsia="Times New Roman" w:cs="Times New Roman"/>
          <w:sz w:val="22"/>
        </w:rPr>
        <w:t xml:space="preserve">In short, the State's legitimate interest in saving money provides no justification for its decision to discriminate among equally eligible citizens. . . . </w:t>
      </w:r>
    </w:p>
    <w:p w:rsidR="0059628A" w:rsidRPr="0059628A" w:rsidRDefault="0059628A" w:rsidP="0059628A">
      <w:pPr>
        <w:ind w:firstLine="720"/>
        <w:rPr>
          <w:rFonts w:ascii="Courier New" w:eastAsia="Times New Roman" w:hAnsi="Courier New" w:cs="Courier New"/>
          <w:sz w:val="20"/>
          <w:szCs w:val="20"/>
        </w:rPr>
      </w:pPr>
      <w:r w:rsidRPr="0059628A">
        <w:rPr>
          <w:rFonts w:eastAsia="Times New Roman" w:cs="Times New Roman"/>
          <w:sz w:val="22"/>
        </w:rPr>
        <w:t>Citizens of the United States, whether rich or poor, have the right to choose to be citizens "of the State wherein they reside." The States, however, do not have any right to select their citizens. The Fourteenth Amendment, like the Constitution itself, was, as Justice Cardozo put it, "framed upon the theory that the peoples of the several states must sink or swim together, and that in the long run prosperity and salvation are in union and not division."</w:t>
      </w:r>
    </w:p>
    <w:p w:rsidR="0059628A" w:rsidRPr="0059628A" w:rsidRDefault="0059628A" w:rsidP="0059628A">
      <w:pPr>
        <w:ind w:firstLine="720"/>
        <w:rPr>
          <w:rFonts w:ascii="Courier New" w:eastAsia="Times New Roman" w:hAnsi="Courier New" w:cs="Courier New"/>
          <w:sz w:val="20"/>
          <w:szCs w:val="20"/>
        </w:rPr>
      </w:pPr>
      <w:r w:rsidRPr="0059628A">
        <w:rPr>
          <w:rFonts w:eastAsia="Times New Roman" w:cs="Times New Roman"/>
          <w:sz w:val="22"/>
        </w:rPr>
        <w:t>The judgment of the Court of Appeals is affirmed.</w:t>
      </w:r>
    </w:p>
    <w:p w:rsidR="0059628A" w:rsidRPr="0059628A" w:rsidRDefault="0059628A" w:rsidP="0059628A">
      <w:pPr>
        <w:ind w:left="5040" w:firstLine="720"/>
        <w:rPr>
          <w:rFonts w:ascii="Courier New" w:eastAsia="Times New Roman" w:hAnsi="Courier New" w:cs="Courier New"/>
          <w:sz w:val="20"/>
          <w:szCs w:val="20"/>
        </w:rPr>
      </w:pPr>
      <w:r w:rsidRPr="0059628A">
        <w:rPr>
          <w:rFonts w:eastAsia="Times New Roman" w:cs="Times New Roman"/>
          <w:i/>
          <w:sz w:val="22"/>
        </w:rPr>
        <w:t>It is so ordered.</w:t>
      </w:r>
    </w:p>
    <w:p w:rsidR="0059628A" w:rsidRPr="0059628A" w:rsidRDefault="0059628A" w:rsidP="0059628A">
      <w:pPr>
        <w:rPr>
          <w:rFonts w:ascii="Courier New" w:eastAsia="Times New Roman" w:hAnsi="Courier New" w:cs="Courier New"/>
          <w:sz w:val="20"/>
          <w:szCs w:val="20"/>
        </w:rPr>
      </w:pPr>
      <w:r w:rsidRPr="0059628A">
        <w:rPr>
          <w:rFonts w:eastAsia="Times New Roman" w:cs="Times New Roman"/>
          <w:sz w:val="22"/>
        </w:rPr>
        <w:t> </w:t>
      </w:r>
    </w:p>
    <w:p w:rsidR="0059628A" w:rsidRPr="0059628A" w:rsidRDefault="0059628A" w:rsidP="0059628A">
      <w:pPr>
        <w:rPr>
          <w:rFonts w:ascii="Courier New" w:eastAsia="Times New Roman" w:hAnsi="Courier New" w:cs="Courier New"/>
          <w:sz w:val="20"/>
          <w:szCs w:val="20"/>
        </w:rPr>
      </w:pPr>
      <w:proofErr w:type="gramStart"/>
      <w:r w:rsidRPr="0059628A">
        <w:rPr>
          <w:rFonts w:eastAsia="Times New Roman" w:cs="Times New Roman"/>
          <w:sz w:val="22"/>
        </w:rPr>
        <w:t>CHIEF JUSTICE REHNQUIST, with whom JUSTICE THOMAS joins, dissenting.</w:t>
      </w:r>
      <w:proofErr w:type="gramEnd"/>
    </w:p>
    <w:p w:rsidR="0059628A" w:rsidRPr="0059628A" w:rsidRDefault="0059628A" w:rsidP="0059628A">
      <w:pPr>
        <w:ind w:firstLine="720"/>
        <w:rPr>
          <w:rFonts w:ascii="Courier New" w:eastAsia="Times New Roman" w:hAnsi="Courier New" w:cs="Courier New"/>
          <w:sz w:val="20"/>
          <w:szCs w:val="20"/>
        </w:rPr>
      </w:pPr>
      <w:r w:rsidRPr="0059628A">
        <w:rPr>
          <w:rFonts w:eastAsia="Times New Roman" w:cs="Times New Roman"/>
          <w:sz w:val="22"/>
        </w:rPr>
        <w:t xml:space="preserve">The Court today breathes new life into the previously dormant Privileges or Immunities Clause of the Fourteenth Amendment—a Clause relied upon by this Court in only one other decision, </w:t>
      </w:r>
      <w:r w:rsidRPr="0059628A">
        <w:rPr>
          <w:rFonts w:eastAsia="Times New Roman" w:cs="Times New Roman"/>
          <w:i/>
          <w:sz w:val="22"/>
        </w:rPr>
        <w:t>Colgate v. Harvey</w:t>
      </w:r>
      <w:r w:rsidRPr="0059628A">
        <w:rPr>
          <w:rFonts w:eastAsia="Times New Roman" w:cs="Times New Roman"/>
          <w:sz w:val="22"/>
        </w:rPr>
        <w:t xml:space="preserve"> (1935), overruled five years later by </w:t>
      </w:r>
      <w:r w:rsidRPr="0059628A">
        <w:rPr>
          <w:rFonts w:eastAsia="Times New Roman" w:cs="Times New Roman"/>
          <w:i/>
          <w:sz w:val="22"/>
        </w:rPr>
        <w:t>Madden v. Kentucky</w:t>
      </w:r>
      <w:r w:rsidRPr="0059628A">
        <w:rPr>
          <w:rFonts w:eastAsia="Times New Roman" w:cs="Times New Roman"/>
          <w:sz w:val="22"/>
        </w:rPr>
        <w:t xml:space="preserve"> (1940). It uses this Clause to strike down what I believe is a reasonable measure falling under the head of a "good-faith residency requirement." Because I do not think any provision of the Constitution—and surely not a provision relied upon for only the second time since its enactment 130 years ago—requires this result, I dissent.</w:t>
      </w:r>
    </w:p>
    <w:p w:rsidR="0059628A" w:rsidRPr="0059628A" w:rsidRDefault="0059628A" w:rsidP="0059628A">
      <w:pPr>
        <w:rPr>
          <w:rFonts w:ascii="Courier New" w:eastAsia="Times New Roman" w:hAnsi="Courier New" w:cs="Courier New"/>
          <w:sz w:val="20"/>
          <w:szCs w:val="20"/>
        </w:rPr>
      </w:pPr>
      <w:r w:rsidRPr="0059628A">
        <w:rPr>
          <w:rFonts w:eastAsia="Times New Roman" w:cs="Times New Roman"/>
          <w:sz w:val="22"/>
        </w:rPr>
        <w:t> </w:t>
      </w:r>
    </w:p>
    <w:p w:rsidR="0059628A" w:rsidRPr="0059628A" w:rsidRDefault="0059628A" w:rsidP="0059628A">
      <w:pPr>
        <w:rPr>
          <w:rFonts w:ascii="Courier New" w:eastAsia="Times New Roman" w:hAnsi="Courier New" w:cs="Courier New"/>
          <w:sz w:val="20"/>
          <w:szCs w:val="20"/>
        </w:rPr>
      </w:pPr>
      <w:proofErr w:type="gramStart"/>
      <w:r w:rsidRPr="0059628A">
        <w:rPr>
          <w:rFonts w:eastAsia="Times New Roman" w:cs="Times New Roman"/>
          <w:sz w:val="22"/>
        </w:rPr>
        <w:t>JUSTICE THOMAS, with whom THE CHIEF JUSTICE joins, dissenting.</w:t>
      </w:r>
      <w:proofErr w:type="gramEnd"/>
    </w:p>
    <w:p w:rsidR="0059628A" w:rsidRPr="0059628A" w:rsidRDefault="0059628A" w:rsidP="0059628A">
      <w:pPr>
        <w:ind w:firstLine="720"/>
        <w:rPr>
          <w:rFonts w:ascii="Courier New" w:eastAsia="Times New Roman" w:hAnsi="Courier New" w:cs="Courier New"/>
          <w:sz w:val="20"/>
          <w:szCs w:val="20"/>
        </w:rPr>
      </w:pPr>
      <w:r w:rsidRPr="0059628A">
        <w:rPr>
          <w:rFonts w:eastAsia="Times New Roman" w:cs="Times New Roman"/>
          <w:sz w:val="22"/>
        </w:rPr>
        <w:t xml:space="preserve">I join </w:t>
      </w:r>
      <w:r w:rsidRPr="0059628A">
        <w:rPr>
          <w:rFonts w:eastAsia="Times New Roman" w:cs="Times New Roman"/>
          <w:caps/>
          <w:sz w:val="22"/>
        </w:rPr>
        <w:t>the chief justice</w:t>
      </w:r>
      <w:r w:rsidRPr="0059628A">
        <w:rPr>
          <w:rFonts w:eastAsia="Times New Roman" w:cs="Times New Roman"/>
          <w:sz w:val="22"/>
        </w:rPr>
        <w:t xml:space="preserve">’s dissent. I write separately to address the majority's conclusion that California has violated "the right of the newly arrived citizen to the same privileges and immunities enjoyed by other citizens of the same State." In my view, the majority attributes a meaning to the Privileges or Immunities Clause that likely was unintended when the Fourteenth Amendment was enacted and ratified. . . . </w:t>
      </w:r>
    </w:p>
    <w:p w:rsidR="0059628A" w:rsidRPr="0059628A" w:rsidRDefault="0059628A" w:rsidP="0059628A">
      <w:pPr>
        <w:ind w:firstLine="720"/>
        <w:rPr>
          <w:rFonts w:ascii="Courier New" w:eastAsia="Times New Roman" w:hAnsi="Courier New" w:cs="Courier New"/>
          <w:sz w:val="20"/>
          <w:szCs w:val="20"/>
        </w:rPr>
      </w:pPr>
      <w:r w:rsidRPr="0059628A">
        <w:rPr>
          <w:rFonts w:eastAsia="Times New Roman" w:cs="Times New Roman"/>
          <w:sz w:val="22"/>
        </w:rPr>
        <w:t xml:space="preserve">As the chief justice points out, it comes as quite a surprise that the majority relies on the Privileges or Immunities Clause at all in this case. That is because the </w:t>
      </w:r>
      <w:r w:rsidRPr="0059628A">
        <w:rPr>
          <w:rFonts w:eastAsia="Times New Roman" w:cs="Times New Roman"/>
          <w:i/>
          <w:sz w:val="22"/>
        </w:rPr>
        <w:t>Slaughter-House Cases</w:t>
      </w:r>
      <w:r w:rsidRPr="0059628A">
        <w:rPr>
          <w:rFonts w:eastAsia="Times New Roman" w:cs="Times New Roman"/>
          <w:sz w:val="22"/>
        </w:rPr>
        <w:t xml:space="preserve"> sapped the Clause of any meaning. Although the majority appears to breathe new life into the Clause today, it fails to address its historical underpinnings or its place in our constitutional jurisprudence. Because I believe that the demise of the Privileges or Immunities Clause has contributed in no small part to the current disarray of our Fourteenth Amendment jurisprudence, I would be open to reevaluating its meaning in an appropriate case. Before invoking the Clause, however, we should endeavor to understand what the framers of the Fourteenth Amendment thought that it meant. We should also consider whether the Clause should displace, rather than augment, portions of our equal protection and substantive due process jurisprudence. The majority's failure to consider these important questions raises the specter that the Privileges or Immunities Clause will become yet another convenient tool for inventing new rights, limited solely by the "predilections of those who happen at the time to be Members of this Court."</w:t>
      </w:r>
    </w:p>
    <w:p w:rsidR="0059628A" w:rsidRPr="0059628A" w:rsidRDefault="0059628A" w:rsidP="0059628A">
      <w:pPr>
        <w:ind w:firstLine="720"/>
        <w:rPr>
          <w:rFonts w:ascii="Courier New" w:eastAsia="Times New Roman" w:hAnsi="Courier New" w:cs="Courier New"/>
          <w:sz w:val="20"/>
          <w:szCs w:val="20"/>
        </w:rPr>
      </w:pPr>
      <w:r w:rsidRPr="0059628A">
        <w:rPr>
          <w:rFonts w:eastAsia="Times New Roman" w:cs="Times New Roman"/>
          <w:sz w:val="22"/>
        </w:rPr>
        <w:t>I respectfully dissent.</w:t>
      </w:r>
    </w:p>
    <w:p w:rsidR="0059628A" w:rsidRDefault="0059628A"/>
    <w:sectPr w:rsidR="0059628A" w:rsidSect="006E00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628A"/>
    <w:rsid w:val="004454C7"/>
    <w:rsid w:val="00514502"/>
    <w:rsid w:val="0059628A"/>
    <w:rsid w:val="006E001D"/>
    <w:rsid w:val="00E876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4C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9628A"/>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semiHidden/>
    <w:rsid w:val="0059628A"/>
    <w:rPr>
      <w:rFonts w:ascii="Courier New" w:eastAsia="Times New Roman" w:hAnsi="Courier New" w:cs="Courier New"/>
      <w:sz w:val="20"/>
      <w:szCs w:val="20"/>
    </w:rPr>
  </w:style>
  <w:style w:type="character" w:customStyle="1" w:styleId="spelle">
    <w:name w:val="spelle"/>
    <w:basedOn w:val="DefaultParagraphFont"/>
    <w:rsid w:val="0059628A"/>
  </w:style>
  <w:style w:type="character" w:customStyle="1" w:styleId="grame">
    <w:name w:val="grame"/>
    <w:basedOn w:val="DefaultParagraphFont"/>
    <w:rsid w:val="0059628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2565</Words>
  <Characters>14621</Characters>
  <Application>Microsoft Office Word</Application>
  <DocSecurity>0</DocSecurity>
  <Lines>121</Lines>
  <Paragraphs>34</Paragraphs>
  <ScaleCrop>false</ScaleCrop>
  <Company>Augustana College</Company>
  <LinksUpToDate>false</LinksUpToDate>
  <CharactersWithSpaces>17152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Whitemore, Kevin</dc:creator>
  <cp:keywords/>
  <dc:description/>
  <cp:lastModifiedBy>Whitemore, Kevin</cp:lastModifiedBy>
  <cp:revision>1</cp:revision>
  <dcterms:created xsi:type="dcterms:W3CDTF">2011-01-24T23:32:00Z</dcterms:created>
  <dcterms:modified xsi:type="dcterms:W3CDTF">2011-01-24T23:41:00Z</dcterms:modified>
</cp:coreProperties>
</file>