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2" w:rsidRDefault="004758E9" w:rsidP="004758E9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B65BC3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617C2F" wp14:editId="24E5E1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4283" cy="1130060"/>
            <wp:effectExtent l="0" t="0" r="0" b="0"/>
            <wp:wrapTight wrapText="bothSides">
              <wp:wrapPolygon edited="0">
                <wp:start x="0" y="0"/>
                <wp:lineTo x="0" y="21126"/>
                <wp:lineTo x="21517" y="21126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283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FD8">
        <w:rPr>
          <w:rFonts w:asciiTheme="majorHAnsi" w:hAnsiTheme="majorHAnsi"/>
          <w:b/>
          <w:sz w:val="24"/>
        </w:rPr>
        <w:t>First Destination Survey for the Class of 2017</w:t>
      </w:r>
    </w:p>
    <w:p w:rsidR="009A70E5" w:rsidRPr="004758E9" w:rsidRDefault="00E808E4" w:rsidP="00D85FD8">
      <w:pPr>
        <w:spacing w:after="0" w:line="240" w:lineRule="auto"/>
        <w:rPr>
          <w:rFonts w:asciiTheme="majorHAnsi" w:hAnsiTheme="majorHAnsi"/>
          <w:i/>
          <w:sz w:val="20"/>
        </w:rPr>
      </w:pPr>
      <w:r w:rsidRPr="004758E9">
        <w:rPr>
          <w:rFonts w:asciiTheme="majorHAnsi" w:hAnsiTheme="majorHAnsi"/>
          <w:i/>
          <w:sz w:val="20"/>
        </w:rPr>
        <w:t xml:space="preserve">Prepared by Laura </w:t>
      </w:r>
      <w:proofErr w:type="spellStart"/>
      <w:r w:rsidRPr="004758E9">
        <w:rPr>
          <w:rFonts w:asciiTheme="majorHAnsi" w:hAnsiTheme="majorHAnsi"/>
          <w:i/>
          <w:sz w:val="20"/>
        </w:rPr>
        <w:t>Kestner</w:t>
      </w:r>
      <w:proofErr w:type="spellEnd"/>
      <w:r w:rsidRPr="004758E9">
        <w:rPr>
          <w:rFonts w:asciiTheme="majorHAnsi" w:hAnsiTheme="majorHAnsi"/>
          <w:i/>
          <w:sz w:val="20"/>
        </w:rPr>
        <w:t>-Ricketts, Executive Director, Career and Professional Development</w:t>
      </w:r>
      <w:r w:rsidR="004758E9">
        <w:rPr>
          <w:rFonts w:asciiTheme="majorHAnsi" w:hAnsiTheme="majorHAnsi"/>
          <w:i/>
          <w:sz w:val="20"/>
        </w:rPr>
        <w:t xml:space="preserve">, </w:t>
      </w:r>
      <w:r w:rsidR="009A70E5" w:rsidRPr="004758E9">
        <w:rPr>
          <w:rFonts w:asciiTheme="majorHAnsi" w:hAnsiTheme="majorHAnsi"/>
          <w:i/>
          <w:sz w:val="20"/>
        </w:rPr>
        <w:t>Updated: April 2017</w:t>
      </w:r>
    </w:p>
    <w:p w:rsidR="00E808E4" w:rsidRDefault="00E808E4" w:rsidP="00D85FD8">
      <w:pPr>
        <w:spacing w:after="0" w:line="240" w:lineRule="auto"/>
        <w:rPr>
          <w:rFonts w:asciiTheme="majorHAnsi" w:hAnsiTheme="majorHAnsi"/>
          <w:sz w:val="24"/>
        </w:rPr>
      </w:pPr>
    </w:p>
    <w:p w:rsidR="000E6BD2" w:rsidRDefault="000E6BD2" w:rsidP="00F1624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Summary</w:t>
      </w:r>
    </w:p>
    <w:p w:rsidR="000E6BD2" w:rsidRDefault="000E6BD2" w:rsidP="00F16243">
      <w:pPr>
        <w:spacing w:after="0" w:line="240" w:lineRule="auto"/>
        <w:rPr>
          <w:rFonts w:asciiTheme="majorHAnsi" w:hAnsiTheme="majorHAnsi"/>
          <w:sz w:val="24"/>
        </w:rPr>
      </w:pPr>
      <w:r w:rsidRPr="00F16243">
        <w:rPr>
          <w:rFonts w:asciiTheme="majorHAnsi" w:hAnsiTheme="majorHAnsi"/>
          <w:sz w:val="24"/>
        </w:rPr>
        <w:t xml:space="preserve">The Class of 2017 is made up of students who graduated from Augustana College in </w:t>
      </w:r>
      <w:proofErr w:type="gramStart"/>
      <w:r w:rsidRPr="00F16243">
        <w:rPr>
          <w:rFonts w:asciiTheme="majorHAnsi" w:hAnsiTheme="majorHAnsi"/>
          <w:sz w:val="24"/>
        </w:rPr>
        <w:t>Summer</w:t>
      </w:r>
      <w:proofErr w:type="gramEnd"/>
      <w:r w:rsidRPr="00F16243">
        <w:rPr>
          <w:rFonts w:asciiTheme="majorHAnsi" w:hAnsiTheme="majorHAnsi"/>
          <w:sz w:val="24"/>
        </w:rPr>
        <w:t xml:space="preserve"> 2016, Fall 2016, and </w:t>
      </w:r>
      <w:r w:rsidR="00914879">
        <w:rPr>
          <w:rFonts w:asciiTheme="majorHAnsi" w:hAnsiTheme="majorHAnsi"/>
          <w:sz w:val="24"/>
        </w:rPr>
        <w:t>Spring</w:t>
      </w:r>
      <w:r w:rsidRPr="00F16243">
        <w:rPr>
          <w:rFonts w:asciiTheme="majorHAnsi" w:hAnsiTheme="majorHAnsi"/>
          <w:sz w:val="24"/>
        </w:rPr>
        <w:t xml:space="preserve"> 2017.  The number of students in this cohort is </w:t>
      </w:r>
      <w:r w:rsidR="00914879">
        <w:rPr>
          <w:rFonts w:asciiTheme="majorHAnsi" w:hAnsiTheme="majorHAnsi"/>
          <w:sz w:val="24"/>
        </w:rPr>
        <w:t>501</w:t>
      </w:r>
      <w:r w:rsidRPr="00F16243">
        <w:rPr>
          <w:rFonts w:asciiTheme="majorHAnsi" w:hAnsiTheme="majorHAnsi"/>
          <w:sz w:val="24"/>
        </w:rPr>
        <w:t xml:space="preserve">.  </w:t>
      </w:r>
      <w:r w:rsidR="00F16243">
        <w:rPr>
          <w:rFonts w:asciiTheme="majorHAnsi" w:hAnsiTheme="majorHAnsi"/>
          <w:sz w:val="24"/>
        </w:rPr>
        <w:t>D</w:t>
      </w:r>
      <w:r w:rsidR="00F16243" w:rsidRPr="00F16243">
        <w:rPr>
          <w:rFonts w:asciiTheme="majorHAnsi" w:hAnsiTheme="majorHAnsi"/>
          <w:sz w:val="24"/>
        </w:rPr>
        <w:t xml:space="preserve">ata was captured </w:t>
      </w:r>
      <w:r w:rsidR="00F16243">
        <w:rPr>
          <w:rFonts w:asciiTheme="majorHAnsi" w:hAnsiTheme="majorHAnsi"/>
          <w:sz w:val="24"/>
        </w:rPr>
        <w:t xml:space="preserve">for </w:t>
      </w:r>
      <w:r w:rsidR="00914879">
        <w:rPr>
          <w:rFonts w:asciiTheme="majorHAnsi" w:hAnsiTheme="majorHAnsi"/>
          <w:sz w:val="24"/>
        </w:rPr>
        <w:t>379 graduating students, or 76</w:t>
      </w:r>
      <w:r w:rsidR="00F16243">
        <w:rPr>
          <w:rFonts w:asciiTheme="majorHAnsi" w:hAnsiTheme="majorHAnsi"/>
          <w:sz w:val="24"/>
        </w:rPr>
        <w:t xml:space="preserve">% of that cohort; this is referred to as the Knowledge Rate.  The term Knowledge Rate </w:t>
      </w:r>
      <w:r w:rsidR="00F16243" w:rsidRPr="00F16243">
        <w:rPr>
          <w:rFonts w:asciiTheme="majorHAnsi" w:hAnsiTheme="majorHAnsi"/>
          <w:sz w:val="24"/>
        </w:rPr>
        <w:t xml:space="preserve">replaces </w:t>
      </w:r>
      <w:r w:rsidR="00F16243">
        <w:rPr>
          <w:rFonts w:asciiTheme="majorHAnsi" w:hAnsiTheme="majorHAnsi"/>
          <w:sz w:val="24"/>
        </w:rPr>
        <w:t xml:space="preserve">the term </w:t>
      </w:r>
      <w:r w:rsidR="00F16243" w:rsidRPr="00F16243">
        <w:rPr>
          <w:rFonts w:asciiTheme="majorHAnsi" w:hAnsiTheme="majorHAnsi"/>
          <w:sz w:val="24"/>
        </w:rPr>
        <w:t xml:space="preserve">Response Rate </w:t>
      </w:r>
      <w:r w:rsidR="009C3B67" w:rsidRPr="00F16243">
        <w:rPr>
          <w:rFonts w:asciiTheme="majorHAnsi" w:hAnsiTheme="majorHAnsi"/>
          <w:sz w:val="24"/>
        </w:rPr>
        <w:t>because</w:t>
      </w:r>
      <w:r w:rsidR="009C3B67">
        <w:rPr>
          <w:rFonts w:asciiTheme="majorHAnsi" w:hAnsiTheme="majorHAnsi"/>
          <w:sz w:val="24"/>
        </w:rPr>
        <w:t xml:space="preserve"> that</w:t>
      </w:r>
      <w:r w:rsidR="00F16243">
        <w:rPr>
          <w:rFonts w:asciiTheme="majorHAnsi" w:hAnsiTheme="majorHAnsi"/>
          <w:sz w:val="24"/>
        </w:rPr>
        <w:t xml:space="preserve"> data was captured through </w:t>
      </w:r>
      <w:r w:rsidR="00F16243" w:rsidRPr="00F16243">
        <w:rPr>
          <w:rFonts w:asciiTheme="majorHAnsi" w:hAnsiTheme="majorHAnsi"/>
          <w:sz w:val="24"/>
        </w:rPr>
        <w:t xml:space="preserve">several means including senior survey responses, first destination survey responses (sent several times), and internet research using LinkedIn, Facebook, and Google.  </w:t>
      </w:r>
    </w:p>
    <w:p w:rsidR="00F16243" w:rsidRDefault="00F16243" w:rsidP="00F16243">
      <w:pPr>
        <w:spacing w:after="0" w:line="240" w:lineRule="auto"/>
        <w:rPr>
          <w:rFonts w:asciiTheme="majorHAnsi" w:hAnsiTheme="majorHAnsi"/>
          <w:sz w:val="24"/>
        </w:rPr>
      </w:pPr>
    </w:p>
    <w:p w:rsidR="00406320" w:rsidRDefault="00F16243" w:rsidP="00F1624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Using the Knowledge </w:t>
      </w:r>
      <w:r w:rsidR="009C3B67">
        <w:rPr>
          <w:rFonts w:asciiTheme="majorHAnsi" w:hAnsiTheme="majorHAnsi"/>
          <w:sz w:val="24"/>
        </w:rPr>
        <w:t>Rate, we know that 97</w:t>
      </w:r>
      <w:r>
        <w:rPr>
          <w:rFonts w:asciiTheme="majorHAnsi" w:hAnsiTheme="majorHAnsi"/>
          <w:sz w:val="24"/>
        </w:rPr>
        <w:t xml:space="preserve">% of the Class of 2017 is actively engaged in continuing education, full or part time employment, or military or volunteer service.  </w:t>
      </w:r>
      <w:r w:rsidR="009C3B67">
        <w:rPr>
          <w:rFonts w:asciiTheme="majorHAnsi" w:hAnsiTheme="majorHAnsi"/>
          <w:sz w:val="24"/>
        </w:rPr>
        <w:t>Three</w:t>
      </w:r>
      <w:r>
        <w:rPr>
          <w:rFonts w:asciiTheme="majorHAnsi" w:hAnsiTheme="majorHAnsi"/>
          <w:sz w:val="24"/>
        </w:rPr>
        <w:t xml:space="preserve"> percent of the Class of 2017 is still seeking either continuing education or employment.</w:t>
      </w:r>
      <w:r w:rsidR="00652E8C">
        <w:rPr>
          <w:rFonts w:asciiTheme="majorHAnsi" w:hAnsiTheme="majorHAnsi"/>
          <w:sz w:val="24"/>
        </w:rPr>
        <w:t xml:space="preserve">  </w:t>
      </w:r>
    </w:p>
    <w:p w:rsidR="00406320" w:rsidRDefault="00406320" w:rsidP="00F16243">
      <w:pPr>
        <w:spacing w:after="0" w:line="240" w:lineRule="auto"/>
        <w:rPr>
          <w:rFonts w:asciiTheme="majorHAnsi" w:hAnsiTheme="majorHAnsi"/>
          <w:sz w:val="24"/>
        </w:rPr>
      </w:pPr>
    </w:p>
    <w:p w:rsidR="00406320" w:rsidRDefault="00406320" w:rsidP="00F1624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 the 233 graduates who are employed full time, 96% are in positions that require a college degree.  The graduates who are employed part time, 71% are in positions that require a college degree.  All of the students who are engaged in military or volunteer service are in</w:t>
      </w:r>
      <w:r w:rsidRPr="0040632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positions that require a college degree.</w:t>
      </w:r>
    </w:p>
    <w:p w:rsidR="00406320" w:rsidRDefault="00406320" w:rsidP="00F16243">
      <w:pPr>
        <w:spacing w:after="0" w:line="240" w:lineRule="auto"/>
        <w:rPr>
          <w:rFonts w:asciiTheme="majorHAnsi" w:hAnsiTheme="majorHAnsi"/>
          <w:sz w:val="24"/>
        </w:rPr>
      </w:pPr>
    </w:p>
    <w:p w:rsidR="00F16243" w:rsidRDefault="00652E8C" w:rsidP="00F1624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category breakdown is detailed below.</w:t>
      </w:r>
    </w:p>
    <w:p w:rsidR="00652E8C" w:rsidRDefault="00652E8C" w:rsidP="00F16243">
      <w:pPr>
        <w:spacing w:after="0" w:line="240" w:lineRule="auto"/>
        <w:rPr>
          <w:rFonts w:asciiTheme="majorHAnsi" w:hAnsiTheme="majorHAnsi"/>
          <w:sz w:val="24"/>
        </w:rPr>
      </w:pPr>
    </w:p>
    <w:p w:rsidR="00652E8C" w:rsidRDefault="00652E8C" w:rsidP="00F1624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First Destination Survey data is collected through </w:t>
      </w:r>
      <w:proofErr w:type="gramStart"/>
      <w:r>
        <w:rPr>
          <w:rFonts w:asciiTheme="majorHAnsi" w:hAnsiTheme="majorHAnsi"/>
          <w:sz w:val="24"/>
        </w:rPr>
        <w:t>a collaboration</w:t>
      </w:r>
      <w:proofErr w:type="gramEnd"/>
      <w:r>
        <w:rPr>
          <w:rFonts w:asciiTheme="majorHAnsi" w:hAnsiTheme="majorHAnsi"/>
          <w:sz w:val="24"/>
        </w:rPr>
        <w:t xml:space="preserve"> between Institutional Research, Alumni Relations, and Career Development.  </w:t>
      </w:r>
    </w:p>
    <w:p w:rsidR="00652E8C" w:rsidRDefault="00652E8C" w:rsidP="00F16243">
      <w:pPr>
        <w:spacing w:after="0" w:line="240" w:lineRule="auto"/>
        <w:rPr>
          <w:rFonts w:asciiTheme="majorHAnsi" w:hAnsiTheme="majorHAnsi"/>
          <w:sz w:val="24"/>
        </w:rPr>
      </w:pPr>
    </w:p>
    <w:p w:rsidR="000E6BD2" w:rsidRDefault="000E6BD2" w:rsidP="00D85FD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Knowledge Rate</w:t>
      </w:r>
    </w:p>
    <w:p w:rsidR="000E6BD2" w:rsidRPr="000E6BD2" w:rsidRDefault="000E6BD2" w:rsidP="00D85FD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1681"/>
        <w:gridCol w:w="1090"/>
        <w:gridCol w:w="2880"/>
        <w:gridCol w:w="1075"/>
      </w:tblGrid>
      <w:tr w:rsidR="003B7845" w:rsidTr="003D0882">
        <w:tc>
          <w:tcPr>
            <w:tcW w:w="4064" w:type="dxa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681" w:type="dxa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F16243">
              <w:rPr>
                <w:rFonts w:asciiTheme="majorHAnsi" w:hAnsiTheme="majorHAnsi"/>
                <w:b/>
                <w:sz w:val="24"/>
              </w:rPr>
              <w:t>Number</w:t>
            </w:r>
          </w:p>
        </w:tc>
        <w:tc>
          <w:tcPr>
            <w:tcW w:w="1090" w:type="dxa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F16243">
              <w:rPr>
                <w:rFonts w:asciiTheme="majorHAnsi" w:hAnsiTheme="majorHAnsi"/>
                <w:b/>
                <w:sz w:val="24"/>
              </w:rPr>
              <w:t>Percent</w:t>
            </w:r>
          </w:p>
        </w:tc>
        <w:tc>
          <w:tcPr>
            <w:tcW w:w="2880" w:type="dxa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Require College Degree</w:t>
            </w:r>
          </w:p>
        </w:tc>
        <w:tc>
          <w:tcPr>
            <w:tcW w:w="1075" w:type="dxa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Percent</w:t>
            </w:r>
          </w:p>
        </w:tc>
      </w:tr>
      <w:tr w:rsidR="003B7845" w:rsidTr="003D0882">
        <w:tc>
          <w:tcPr>
            <w:tcW w:w="4064" w:type="dxa"/>
          </w:tcPr>
          <w:p w:rsidR="003B7845" w:rsidRPr="00652E8C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652E8C">
              <w:rPr>
                <w:rFonts w:asciiTheme="majorHAnsi" w:hAnsiTheme="majorHAnsi"/>
                <w:b/>
                <w:sz w:val="24"/>
              </w:rPr>
              <w:t>Class of 2017</w:t>
            </w:r>
            <w:r w:rsidRPr="00652E8C">
              <w:rPr>
                <w:rFonts w:asciiTheme="majorHAnsi" w:hAnsiTheme="majorHAnsi"/>
                <w:b/>
                <w:sz w:val="24"/>
              </w:rPr>
              <w:tab/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501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100%</w:t>
            </w:r>
          </w:p>
        </w:tc>
        <w:tc>
          <w:tcPr>
            <w:tcW w:w="288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75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</w:p>
        </w:tc>
      </w:tr>
      <w:tr w:rsidR="003B7845" w:rsidTr="003D0882">
        <w:tc>
          <w:tcPr>
            <w:tcW w:w="4064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F16243">
              <w:rPr>
                <w:rFonts w:asciiTheme="majorHAnsi" w:hAnsiTheme="majorHAnsi"/>
                <w:b/>
                <w:sz w:val="24"/>
              </w:rPr>
              <w:t>Knowledge Rate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380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76%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3B7845" w:rsidTr="00D66247">
        <w:tc>
          <w:tcPr>
            <w:tcW w:w="10790" w:type="dxa"/>
            <w:gridSpan w:val="5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Of those included in the Knowledge Rate…</w:t>
            </w:r>
          </w:p>
        </w:tc>
      </w:tr>
      <w:tr w:rsidR="003B7845" w:rsidTr="003D0882">
        <w:tc>
          <w:tcPr>
            <w:tcW w:w="4064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F16243">
              <w:rPr>
                <w:rFonts w:asciiTheme="majorHAnsi" w:hAnsiTheme="majorHAnsi"/>
                <w:b/>
                <w:sz w:val="24"/>
              </w:rPr>
              <w:t>Engaged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369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97%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34B37" w:rsidTr="003D0882">
        <w:tc>
          <w:tcPr>
            <w:tcW w:w="4064" w:type="dxa"/>
          </w:tcPr>
          <w:p w:rsidR="00034B37" w:rsidRPr="00F16243" w:rsidRDefault="00034B37" w:rsidP="00034B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Continuing Education</w:t>
            </w:r>
          </w:p>
        </w:tc>
        <w:tc>
          <w:tcPr>
            <w:tcW w:w="1681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116</w:t>
            </w:r>
          </w:p>
        </w:tc>
        <w:tc>
          <w:tcPr>
            <w:tcW w:w="1090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31%</w:t>
            </w:r>
          </w:p>
        </w:tc>
        <w:tc>
          <w:tcPr>
            <w:tcW w:w="2880" w:type="dxa"/>
          </w:tcPr>
          <w:p w:rsidR="00034B37" w:rsidRDefault="00034B37" w:rsidP="00034B37">
            <w:r w:rsidRPr="004B57BF">
              <w:rPr>
                <w:rFonts w:asciiTheme="majorHAnsi" w:hAnsiTheme="majorHAnsi"/>
                <w:sz w:val="24"/>
              </w:rPr>
              <w:t>NA</w:t>
            </w:r>
          </w:p>
        </w:tc>
        <w:tc>
          <w:tcPr>
            <w:tcW w:w="1075" w:type="dxa"/>
          </w:tcPr>
          <w:p w:rsidR="00034B37" w:rsidRDefault="00034B37" w:rsidP="00034B37">
            <w:r w:rsidRPr="004B57BF">
              <w:rPr>
                <w:rFonts w:asciiTheme="majorHAnsi" w:hAnsiTheme="majorHAnsi"/>
                <w:sz w:val="24"/>
              </w:rPr>
              <w:t>NA</w:t>
            </w:r>
          </w:p>
        </w:tc>
      </w:tr>
      <w:tr w:rsidR="003B7845" w:rsidTr="003D0882">
        <w:tc>
          <w:tcPr>
            <w:tcW w:w="4064" w:type="dxa"/>
          </w:tcPr>
          <w:p w:rsidR="003B7845" w:rsidRPr="00F16243" w:rsidRDefault="003B7845" w:rsidP="00F162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Employed Full Time</w:t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233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61%</w:t>
            </w:r>
          </w:p>
        </w:tc>
        <w:tc>
          <w:tcPr>
            <w:tcW w:w="2880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224</w:t>
            </w:r>
          </w:p>
        </w:tc>
        <w:tc>
          <w:tcPr>
            <w:tcW w:w="1075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96%</w:t>
            </w:r>
          </w:p>
        </w:tc>
      </w:tr>
      <w:tr w:rsidR="003B7845" w:rsidTr="003D0882">
        <w:tc>
          <w:tcPr>
            <w:tcW w:w="4064" w:type="dxa"/>
          </w:tcPr>
          <w:p w:rsidR="003B7845" w:rsidRPr="00F16243" w:rsidRDefault="003B7845" w:rsidP="00F162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Employed Part Time</w:t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2%</w:t>
            </w:r>
          </w:p>
        </w:tc>
        <w:tc>
          <w:tcPr>
            <w:tcW w:w="2880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075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71%</w:t>
            </w:r>
          </w:p>
        </w:tc>
      </w:tr>
      <w:tr w:rsidR="003B7845" w:rsidTr="003D0882">
        <w:tc>
          <w:tcPr>
            <w:tcW w:w="4064" w:type="dxa"/>
          </w:tcPr>
          <w:p w:rsidR="003B7845" w:rsidRPr="00F16243" w:rsidRDefault="003B7845" w:rsidP="00F162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Military Service</w:t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0%</w:t>
            </w:r>
          </w:p>
        </w:tc>
        <w:tc>
          <w:tcPr>
            <w:tcW w:w="2880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75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100%</w:t>
            </w:r>
          </w:p>
        </w:tc>
      </w:tr>
      <w:tr w:rsidR="003B7845" w:rsidTr="003D0882">
        <w:tc>
          <w:tcPr>
            <w:tcW w:w="4064" w:type="dxa"/>
          </w:tcPr>
          <w:p w:rsidR="003B7845" w:rsidRPr="00F16243" w:rsidRDefault="003B7845" w:rsidP="00F162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Volunteer Service</w:t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1%</w:t>
            </w:r>
          </w:p>
        </w:tc>
        <w:tc>
          <w:tcPr>
            <w:tcW w:w="2880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075" w:type="dxa"/>
          </w:tcPr>
          <w:p w:rsidR="003B7845" w:rsidRDefault="002F2A88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100%</w:t>
            </w:r>
          </w:p>
        </w:tc>
      </w:tr>
      <w:tr w:rsidR="003B7845" w:rsidTr="003D0882">
        <w:tc>
          <w:tcPr>
            <w:tcW w:w="4064" w:type="dxa"/>
          </w:tcPr>
          <w:p w:rsidR="003B7845" w:rsidRPr="00F16243" w:rsidRDefault="003B7845" w:rsidP="00F162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Not Seeking</w:t>
            </w:r>
          </w:p>
        </w:tc>
        <w:tc>
          <w:tcPr>
            <w:tcW w:w="1681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090" w:type="dxa"/>
          </w:tcPr>
          <w:p w:rsidR="003B7845" w:rsidRDefault="003B7845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2%</w:t>
            </w:r>
          </w:p>
        </w:tc>
        <w:tc>
          <w:tcPr>
            <w:tcW w:w="2880" w:type="dxa"/>
          </w:tcPr>
          <w:p w:rsidR="003B7845" w:rsidRDefault="00034B37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</w:t>
            </w:r>
          </w:p>
        </w:tc>
        <w:tc>
          <w:tcPr>
            <w:tcW w:w="1075" w:type="dxa"/>
          </w:tcPr>
          <w:p w:rsidR="003B7845" w:rsidRDefault="00034B37" w:rsidP="00D85FD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</w:t>
            </w:r>
          </w:p>
        </w:tc>
      </w:tr>
      <w:tr w:rsidR="003B7845" w:rsidTr="003D0882">
        <w:tc>
          <w:tcPr>
            <w:tcW w:w="4064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 w:rsidRPr="00F16243">
              <w:rPr>
                <w:rFonts w:asciiTheme="majorHAnsi" w:hAnsiTheme="majorHAnsi"/>
                <w:b/>
                <w:sz w:val="24"/>
              </w:rPr>
              <w:t>Still Seeking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3B7845" w:rsidRPr="00F16243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  <w:r w:rsidRPr="00F16243">
              <w:rPr>
                <w:rFonts w:asciiTheme="majorHAnsi" w:hAnsiTheme="majorHAnsi"/>
                <w:b/>
                <w:sz w:val="24"/>
              </w:rPr>
              <w:t>%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3B7845" w:rsidRDefault="003B7845" w:rsidP="00D85FD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34B37" w:rsidTr="003D0882">
        <w:tc>
          <w:tcPr>
            <w:tcW w:w="4064" w:type="dxa"/>
          </w:tcPr>
          <w:p w:rsidR="00034B37" w:rsidRPr="00F16243" w:rsidRDefault="00034B37" w:rsidP="00034B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Seeking Continuing Education</w:t>
            </w:r>
          </w:p>
        </w:tc>
        <w:tc>
          <w:tcPr>
            <w:tcW w:w="1681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090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2%</w:t>
            </w:r>
          </w:p>
        </w:tc>
        <w:tc>
          <w:tcPr>
            <w:tcW w:w="2880" w:type="dxa"/>
          </w:tcPr>
          <w:p w:rsidR="00034B37" w:rsidRDefault="00034B37" w:rsidP="00034B37">
            <w:r w:rsidRPr="00121E10">
              <w:rPr>
                <w:rFonts w:asciiTheme="majorHAnsi" w:hAnsiTheme="majorHAnsi"/>
                <w:sz w:val="24"/>
              </w:rPr>
              <w:t>NA</w:t>
            </w:r>
          </w:p>
        </w:tc>
        <w:tc>
          <w:tcPr>
            <w:tcW w:w="1075" w:type="dxa"/>
          </w:tcPr>
          <w:p w:rsidR="00034B37" w:rsidRDefault="00034B37" w:rsidP="00034B37">
            <w:r w:rsidRPr="00121E10">
              <w:rPr>
                <w:rFonts w:asciiTheme="majorHAnsi" w:hAnsiTheme="majorHAnsi"/>
                <w:sz w:val="24"/>
              </w:rPr>
              <w:t>NA</w:t>
            </w:r>
          </w:p>
        </w:tc>
      </w:tr>
      <w:tr w:rsidR="00034B37" w:rsidTr="003D0882">
        <w:tc>
          <w:tcPr>
            <w:tcW w:w="4064" w:type="dxa"/>
          </w:tcPr>
          <w:p w:rsidR="00034B37" w:rsidRPr="00F16243" w:rsidRDefault="00034B37" w:rsidP="00034B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F16243">
              <w:rPr>
                <w:rFonts w:asciiTheme="majorHAnsi" w:hAnsiTheme="majorHAnsi"/>
                <w:sz w:val="24"/>
              </w:rPr>
              <w:t>Seeking Employment</w:t>
            </w:r>
          </w:p>
        </w:tc>
        <w:tc>
          <w:tcPr>
            <w:tcW w:w="1681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090" w:type="dxa"/>
          </w:tcPr>
          <w:p w:rsidR="00034B37" w:rsidRDefault="00034B37" w:rsidP="00034B3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1%</w:t>
            </w:r>
          </w:p>
        </w:tc>
        <w:tc>
          <w:tcPr>
            <w:tcW w:w="2880" w:type="dxa"/>
          </w:tcPr>
          <w:p w:rsidR="00034B37" w:rsidRDefault="00034B37" w:rsidP="00034B37">
            <w:r w:rsidRPr="00121E10">
              <w:rPr>
                <w:rFonts w:asciiTheme="majorHAnsi" w:hAnsiTheme="majorHAnsi"/>
                <w:sz w:val="24"/>
              </w:rPr>
              <w:t>NA</w:t>
            </w:r>
          </w:p>
        </w:tc>
        <w:tc>
          <w:tcPr>
            <w:tcW w:w="1075" w:type="dxa"/>
          </w:tcPr>
          <w:p w:rsidR="00034B37" w:rsidRDefault="00034B37" w:rsidP="00034B37">
            <w:r w:rsidRPr="00121E10">
              <w:rPr>
                <w:rFonts w:asciiTheme="majorHAnsi" w:hAnsiTheme="majorHAnsi"/>
                <w:sz w:val="24"/>
              </w:rPr>
              <w:t>NA</w:t>
            </w:r>
          </w:p>
        </w:tc>
      </w:tr>
    </w:tbl>
    <w:p w:rsidR="00DB488D" w:rsidRDefault="00DB488D" w:rsidP="00D85FD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D0882" w:rsidRDefault="003D0882" w:rsidP="00D85FD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D0882" w:rsidRDefault="003D0882" w:rsidP="00D85FD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85FD8" w:rsidRPr="00D85FD8" w:rsidRDefault="00D85FD8" w:rsidP="00D85FD8">
      <w:pPr>
        <w:spacing w:after="0" w:line="240" w:lineRule="auto"/>
        <w:rPr>
          <w:rFonts w:asciiTheme="majorHAnsi" w:hAnsiTheme="majorHAnsi"/>
          <w:b/>
          <w:sz w:val="24"/>
        </w:rPr>
      </w:pPr>
      <w:r w:rsidRPr="00D85FD8">
        <w:rPr>
          <w:rFonts w:asciiTheme="majorHAnsi" w:hAnsiTheme="majorHAnsi"/>
          <w:b/>
          <w:sz w:val="24"/>
        </w:rPr>
        <w:lastRenderedPageBreak/>
        <w:t>Definitions</w:t>
      </w:r>
    </w:p>
    <w:p w:rsidR="00D85FD8" w:rsidRDefault="00D85FD8" w:rsidP="00D85FD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0E6BD2">
        <w:rPr>
          <w:rFonts w:asciiTheme="majorHAnsi" w:hAnsiTheme="majorHAnsi"/>
          <w:b/>
          <w:sz w:val="24"/>
        </w:rPr>
        <w:t>The Class of 2017</w:t>
      </w:r>
      <w:r w:rsidRPr="00D85FD8">
        <w:rPr>
          <w:rFonts w:asciiTheme="majorHAnsi" w:hAnsiTheme="majorHAnsi"/>
          <w:sz w:val="24"/>
        </w:rPr>
        <w:t xml:space="preserve"> is made up of students who graduated from Augustana College in </w:t>
      </w:r>
      <w:proofErr w:type="gramStart"/>
      <w:r w:rsidRPr="00D85FD8">
        <w:rPr>
          <w:rFonts w:asciiTheme="majorHAnsi" w:hAnsiTheme="majorHAnsi"/>
          <w:sz w:val="24"/>
        </w:rPr>
        <w:t>Summer</w:t>
      </w:r>
      <w:proofErr w:type="gramEnd"/>
      <w:r w:rsidRPr="00D85FD8">
        <w:rPr>
          <w:rFonts w:asciiTheme="majorHAnsi" w:hAnsiTheme="majorHAnsi"/>
          <w:sz w:val="24"/>
        </w:rPr>
        <w:t xml:space="preserve"> 2016, Fall 2016, and </w:t>
      </w:r>
      <w:r w:rsidR="00E51556">
        <w:rPr>
          <w:rFonts w:asciiTheme="majorHAnsi" w:hAnsiTheme="majorHAnsi"/>
          <w:sz w:val="24"/>
        </w:rPr>
        <w:t>Spring</w:t>
      </w:r>
      <w:r w:rsidRPr="00D85FD8">
        <w:rPr>
          <w:rFonts w:asciiTheme="majorHAnsi" w:hAnsiTheme="majorHAnsi"/>
          <w:sz w:val="24"/>
        </w:rPr>
        <w:t xml:space="preserve"> 2017.</w:t>
      </w:r>
      <w:r w:rsidR="000E6BD2">
        <w:rPr>
          <w:rFonts w:asciiTheme="majorHAnsi" w:hAnsiTheme="majorHAnsi"/>
          <w:sz w:val="24"/>
        </w:rPr>
        <w:t xml:space="preserve">  This cohort follows the NACE standard of tracking students graduating from July 1-June30 each year.</w:t>
      </w:r>
      <w:r w:rsidR="001E759D">
        <w:rPr>
          <w:rFonts w:asciiTheme="majorHAnsi" w:hAnsiTheme="majorHAnsi"/>
          <w:sz w:val="24"/>
        </w:rPr>
        <w:br/>
      </w:r>
    </w:p>
    <w:p w:rsidR="000E6BD2" w:rsidRDefault="000E6BD2" w:rsidP="000E6BD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</w:rPr>
      </w:pPr>
      <w:r w:rsidRPr="000E6BD2">
        <w:rPr>
          <w:rFonts w:asciiTheme="majorHAnsi" w:hAnsiTheme="majorHAnsi"/>
          <w:b/>
          <w:sz w:val="24"/>
        </w:rPr>
        <w:t>Knowledge Rate</w:t>
      </w:r>
    </w:p>
    <w:p w:rsidR="000E6BD2" w:rsidRPr="000E6BD2" w:rsidRDefault="000E6BD2" w:rsidP="000E6B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This term replaces Response Rate </w:t>
      </w:r>
      <w:r w:rsidR="00E51556">
        <w:rPr>
          <w:rFonts w:asciiTheme="majorHAnsi" w:hAnsiTheme="majorHAnsi"/>
          <w:sz w:val="24"/>
        </w:rPr>
        <w:t>because</w:t>
      </w:r>
      <w:r>
        <w:rPr>
          <w:rFonts w:asciiTheme="majorHAnsi" w:hAnsiTheme="majorHAnsi"/>
          <w:sz w:val="24"/>
        </w:rPr>
        <w:t xml:space="preserve"> the data was captured through several means including senior survey responses, first destination survey responses (sent several times), and internet research using LinkedIn, Facebook, and Google.  </w:t>
      </w:r>
      <w:r w:rsidR="001E759D">
        <w:rPr>
          <w:rFonts w:asciiTheme="majorHAnsi" w:hAnsiTheme="majorHAnsi"/>
          <w:sz w:val="24"/>
        </w:rPr>
        <w:br/>
      </w:r>
    </w:p>
    <w:p w:rsidR="00D85FD8" w:rsidRPr="000E6BD2" w:rsidRDefault="00D85FD8" w:rsidP="00D85FD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</w:rPr>
      </w:pPr>
      <w:r w:rsidRPr="000E6BD2">
        <w:rPr>
          <w:rFonts w:asciiTheme="majorHAnsi" w:hAnsiTheme="majorHAnsi"/>
          <w:b/>
          <w:sz w:val="24"/>
        </w:rPr>
        <w:t>NACE Categories</w:t>
      </w:r>
    </w:p>
    <w:p w:rsidR="00D85FD8" w:rsidRP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D85FD8">
        <w:rPr>
          <w:rFonts w:asciiTheme="majorHAnsi" w:hAnsiTheme="majorHAnsi"/>
          <w:b/>
          <w:sz w:val="24"/>
          <w:szCs w:val="24"/>
        </w:rPr>
        <w:t>Employed Full Time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Pr="00D85FD8">
        <w:rPr>
          <w:rFonts w:asciiTheme="majorHAnsi" w:hAnsiTheme="majorHAnsi"/>
          <w:sz w:val="24"/>
          <w:szCs w:val="24"/>
        </w:rPr>
        <w:t xml:space="preserve">Employed full time is generally defined as a position in which the graduate works for 30 hours or more per week.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Employed Part Time:</w:t>
      </w:r>
      <w:r w:rsidRPr="00D85FD8">
        <w:rPr>
          <w:rFonts w:asciiTheme="majorHAnsi" w:hAnsiTheme="majorHAnsi"/>
          <w:sz w:val="24"/>
        </w:rPr>
        <w:t xml:space="preserve"> </w:t>
      </w:r>
      <w:r w:rsidRPr="00D85FD8">
        <w:rPr>
          <w:rFonts w:asciiTheme="majorHAnsi" w:hAnsiTheme="majorHAnsi"/>
          <w:sz w:val="24"/>
          <w:szCs w:val="24"/>
        </w:rPr>
        <w:t xml:space="preserve">Part-time employment is generally defined as a position in which the graduate works less than 30 hours per week.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Volunteer Service: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who are participating in a volunteer or service program (e.g., Peace Corps, mission work).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Military Service: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serving in the U.S. Armed Forces.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 xml:space="preserve">Continuing Education: </w:t>
      </w:r>
      <w:r w:rsidRPr="00D85FD8">
        <w:rPr>
          <w:rFonts w:asciiTheme="majorHAnsi" w:hAnsiTheme="majorHAnsi"/>
          <w:sz w:val="24"/>
          <w:szCs w:val="24"/>
        </w:rPr>
        <w:t xml:space="preserve">This category is defined as those who have been accepted to and plan to matriculate into a program of further study. This includes graduate school or other specialized training.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Seeking Employment: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who have indicated that they are seeking employment or engaged in the job-search process.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Seeking Continuing Education: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who have indicated that they are seeking and have not yet enrolled in a program of continuing education. </w:t>
      </w:r>
    </w:p>
    <w:p w:rsid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Not Seeking: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who have indicated that they choose not to pursue either employment or continuing education at this time. </w:t>
      </w:r>
    </w:p>
    <w:p w:rsidR="00D85FD8" w:rsidRPr="00D85FD8" w:rsidRDefault="00D85FD8" w:rsidP="00D85FD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85FD8">
        <w:rPr>
          <w:rFonts w:asciiTheme="majorHAnsi" w:hAnsiTheme="majorHAnsi"/>
          <w:b/>
          <w:sz w:val="24"/>
          <w:szCs w:val="24"/>
        </w:rPr>
        <w:t>No Information Available:</w:t>
      </w:r>
      <w:r w:rsidRPr="00D85FD8">
        <w:rPr>
          <w:rFonts w:asciiTheme="majorHAnsi" w:hAnsiTheme="majorHAnsi"/>
          <w:sz w:val="24"/>
          <w:szCs w:val="24"/>
        </w:rPr>
        <w:t xml:space="preserve"> This category is defined as those graduates who, despite reasonable efforts on the part of the institution, have not responded to efforts to obtain information about their post-graduation career plans.</w:t>
      </w:r>
    </w:p>
    <w:sectPr w:rsidR="00D85FD8" w:rsidRPr="00D85FD8" w:rsidSect="0047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1EB"/>
    <w:multiLevelType w:val="hybridMultilevel"/>
    <w:tmpl w:val="86E4533E"/>
    <w:lvl w:ilvl="0" w:tplc="1D8027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767"/>
    <w:multiLevelType w:val="hybridMultilevel"/>
    <w:tmpl w:val="F36E6694"/>
    <w:lvl w:ilvl="0" w:tplc="1D8027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AFA"/>
    <w:multiLevelType w:val="hybridMultilevel"/>
    <w:tmpl w:val="C68C745E"/>
    <w:lvl w:ilvl="0" w:tplc="1D8027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ACC"/>
    <w:multiLevelType w:val="hybridMultilevel"/>
    <w:tmpl w:val="DFC62D40"/>
    <w:lvl w:ilvl="0" w:tplc="1D8027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E79CF"/>
    <w:multiLevelType w:val="hybridMultilevel"/>
    <w:tmpl w:val="93BA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3105"/>
    <w:multiLevelType w:val="hybridMultilevel"/>
    <w:tmpl w:val="BB8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09BF"/>
    <w:multiLevelType w:val="hybridMultilevel"/>
    <w:tmpl w:val="4BF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3"/>
    <w:rsid w:val="00034B37"/>
    <w:rsid w:val="000A03F4"/>
    <w:rsid w:val="000E6BD2"/>
    <w:rsid w:val="001D76B2"/>
    <w:rsid w:val="001E759D"/>
    <w:rsid w:val="002F2A88"/>
    <w:rsid w:val="002F7DC5"/>
    <w:rsid w:val="003B7845"/>
    <w:rsid w:val="003D0882"/>
    <w:rsid w:val="00406320"/>
    <w:rsid w:val="004758E9"/>
    <w:rsid w:val="005439BA"/>
    <w:rsid w:val="005A305A"/>
    <w:rsid w:val="00652E8C"/>
    <w:rsid w:val="00850DCE"/>
    <w:rsid w:val="008A0122"/>
    <w:rsid w:val="008F2E13"/>
    <w:rsid w:val="00914879"/>
    <w:rsid w:val="009A70E5"/>
    <w:rsid w:val="009C3B67"/>
    <w:rsid w:val="00B51D83"/>
    <w:rsid w:val="00C50C30"/>
    <w:rsid w:val="00D85FD8"/>
    <w:rsid w:val="00DB488D"/>
    <w:rsid w:val="00E51556"/>
    <w:rsid w:val="00E808E4"/>
    <w:rsid w:val="00F04BEC"/>
    <w:rsid w:val="00F16243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D8"/>
    <w:pPr>
      <w:ind w:left="720"/>
      <w:contextualSpacing/>
    </w:pPr>
  </w:style>
  <w:style w:type="table" w:styleId="TableGrid">
    <w:name w:val="Table Grid"/>
    <w:basedOn w:val="TableNormal"/>
    <w:uiPriority w:val="59"/>
    <w:rsid w:val="000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D8"/>
    <w:pPr>
      <w:ind w:left="720"/>
      <w:contextualSpacing/>
    </w:pPr>
  </w:style>
  <w:style w:type="table" w:styleId="TableGrid">
    <w:name w:val="Table Grid"/>
    <w:basedOn w:val="TableNormal"/>
    <w:uiPriority w:val="59"/>
    <w:rsid w:val="000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Kestner-Ricketts, Laura</dc:creator>
  <cp:lastModifiedBy>Dyer, Kimberly</cp:lastModifiedBy>
  <cp:revision>2</cp:revision>
  <cp:lastPrinted>2018-04-17T13:50:00Z</cp:lastPrinted>
  <dcterms:created xsi:type="dcterms:W3CDTF">2018-04-18T14:42:00Z</dcterms:created>
  <dcterms:modified xsi:type="dcterms:W3CDTF">2018-04-18T14:42:00Z</dcterms:modified>
</cp:coreProperties>
</file>